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81DC" w14:textId="77777777" w:rsidR="002472A0" w:rsidRPr="00CC5635" w:rsidRDefault="00E5397C" w:rsidP="00CC5635">
      <w:pPr>
        <w:pStyle w:val="Overskrift1"/>
        <w:rPr>
          <w:sz w:val="36"/>
        </w:rPr>
      </w:pPr>
      <w:r w:rsidRPr="00CC5635">
        <w:rPr>
          <w:sz w:val="36"/>
        </w:rPr>
        <w:t>Kommunalt veiledningstilbud i grunnleggende digital kompetanse</w:t>
      </w:r>
    </w:p>
    <w:p w14:paraId="78228CAA" w14:textId="77777777" w:rsidR="00E5397C" w:rsidRDefault="00E5397C" w:rsidP="00B51C80">
      <w:pPr>
        <w:jc w:val="both"/>
      </w:pPr>
    </w:p>
    <w:p w14:paraId="607B5B5A" w14:textId="77777777" w:rsidR="00E5397C" w:rsidRPr="00A94F0B" w:rsidRDefault="00CC5635" w:rsidP="00B51C80">
      <w:pPr>
        <w:jc w:val="both"/>
        <w:rPr>
          <w:rFonts w:cstheme="minorHAnsi"/>
          <w:b/>
          <w:sz w:val="28"/>
        </w:rPr>
      </w:pPr>
      <w:r w:rsidRPr="00A94F0B">
        <w:rPr>
          <w:rFonts w:cstheme="minorHAnsi"/>
          <w:b/>
          <w:sz w:val="28"/>
        </w:rPr>
        <w:t>Bakgrunn</w:t>
      </w:r>
    </w:p>
    <w:p w14:paraId="776C86CD" w14:textId="77777777" w:rsidR="00E5397C" w:rsidRPr="00A94F0B" w:rsidRDefault="00E5397C" w:rsidP="00B51C80">
      <w:pPr>
        <w:jc w:val="both"/>
        <w:rPr>
          <w:rFonts w:cstheme="minorHAnsi"/>
        </w:rPr>
      </w:pPr>
      <w:r w:rsidRPr="00A94F0B">
        <w:rPr>
          <w:rFonts w:cstheme="minorHAnsi"/>
        </w:rPr>
        <w:t xml:space="preserve">Norge er et av de fremste landene i verden når det gjelder tilgang på IKT utstyr og bruk av digitale tjenester. I 2016 brukte 96% av befolkningen internett, og 90 % har brukt internett til å lese e-post. Digital kompetanse i befolkningen er en viktig forutsetning for å oppnå verdiskapning og vekst i samfunnet, og det er derfor viktig at så mange som mulig behersker og har grunnleggende digital kompetanse. </w:t>
      </w:r>
    </w:p>
    <w:p w14:paraId="197C5106" w14:textId="77777777" w:rsidR="00E5397C" w:rsidRPr="00A94F0B" w:rsidRDefault="00E5397C" w:rsidP="00B51C80">
      <w:pPr>
        <w:jc w:val="both"/>
        <w:rPr>
          <w:rFonts w:cstheme="minorHAnsi"/>
        </w:rPr>
      </w:pPr>
      <w:r w:rsidRPr="00A94F0B">
        <w:rPr>
          <w:rFonts w:cstheme="minorHAnsi"/>
        </w:rPr>
        <w:t xml:space="preserve">Innbyggerne skal være i stand til å nyttiggjøre seg av digitale tjenester fra kommune og stat, og samtidig være i stand til å delta i det offentlige ordskiftet. Digital kompetanse kan i tillegg bidra til livslang læring, bedre forståelse for datasikkerhet og sosiale normer på internett og bidra til innbyggere tar informerte valg. </w:t>
      </w:r>
    </w:p>
    <w:p w14:paraId="513D120B" w14:textId="77777777" w:rsidR="00B51C80" w:rsidRPr="00A94F0B" w:rsidRDefault="00B51C80" w:rsidP="00B51C80">
      <w:pPr>
        <w:jc w:val="both"/>
        <w:rPr>
          <w:rFonts w:cstheme="minorHAnsi"/>
          <w:u w:val="single"/>
        </w:rPr>
      </w:pPr>
      <w:r w:rsidRPr="00A94F0B">
        <w:rPr>
          <w:rFonts w:cstheme="minorHAnsi"/>
          <w:u w:val="single"/>
        </w:rPr>
        <w:t>Kommunens rolle</w:t>
      </w:r>
    </w:p>
    <w:p w14:paraId="2EEA190C" w14:textId="77777777" w:rsidR="00B51C80" w:rsidRPr="00A94F0B" w:rsidRDefault="00B51C80" w:rsidP="00B51C80">
      <w:pPr>
        <w:jc w:val="both"/>
        <w:rPr>
          <w:rFonts w:cstheme="minorHAnsi"/>
        </w:rPr>
      </w:pPr>
      <w:r w:rsidRPr="00A94F0B">
        <w:rPr>
          <w:rFonts w:cstheme="minorHAnsi"/>
        </w:rPr>
        <w:t xml:space="preserve">De fleste tjenester som brukes i offentlig sektor er kommunale tjenester og det er kommunen innbyggerne møter i hverdagen. Kommunen har derfor en viktig rolle for å sikre innbyggernes digitale deltakelse. </w:t>
      </w:r>
    </w:p>
    <w:p w14:paraId="65CFAE29" w14:textId="77777777" w:rsidR="00B51C80" w:rsidRPr="00A94F0B" w:rsidRDefault="00B51C80" w:rsidP="00B51C80">
      <w:pPr>
        <w:jc w:val="both"/>
        <w:rPr>
          <w:rFonts w:cstheme="minorHAnsi"/>
        </w:rPr>
      </w:pPr>
      <w:r w:rsidRPr="00A94F0B">
        <w:rPr>
          <w:rFonts w:cstheme="minorHAnsi"/>
        </w:rPr>
        <w:t xml:space="preserve">Kommunal- og moderniseringsdepartementet (KMD) og KS har i fellesskap forpliktet seg til å legge forholdene til rette for at kommunene kan etablere eller videreutvikle et veiledningstilbud som kan hjelpe innbyggerne som har liten eller ingen digital deltakelse og kompetanse. KMD, KS og representanter fra både kommunal og statlig sektor har i 2017 gått sammen om prosjektet </w:t>
      </w:r>
      <w:r w:rsidRPr="00A94F0B">
        <w:rPr>
          <w:rFonts w:cstheme="minorHAnsi"/>
          <w:i/>
        </w:rPr>
        <w:t>Digihjelpen</w:t>
      </w:r>
      <w:r w:rsidRPr="00A94F0B">
        <w:rPr>
          <w:rFonts w:cstheme="minorHAnsi"/>
        </w:rPr>
        <w:t xml:space="preserve">. Formålet med prosjektet har vært å understøtte kommunens arbeid med å utvikle et veiledningstilbud på området. </w:t>
      </w:r>
    </w:p>
    <w:p w14:paraId="6B593BB3" w14:textId="1CF8AD6C" w:rsidR="00B51C80" w:rsidRPr="00A94F0B" w:rsidRDefault="00B51C80" w:rsidP="00B51C80">
      <w:pPr>
        <w:jc w:val="both"/>
        <w:rPr>
          <w:rFonts w:cstheme="minorHAnsi"/>
        </w:rPr>
      </w:pPr>
      <w:r w:rsidRPr="00A94F0B">
        <w:rPr>
          <w:rFonts w:cstheme="minorHAnsi"/>
        </w:rPr>
        <w:t xml:space="preserve">Et kommunalt veiledningstilbud kan organiseres på ulike måter, avhengig av hva innbyggerne har behov for. </w:t>
      </w:r>
      <w:r w:rsidR="00A94F0B">
        <w:rPr>
          <w:rFonts w:cstheme="minorHAnsi"/>
        </w:rPr>
        <w:t xml:space="preserve">Noen har behov for de helt grunnleggende som å bruke datamaskin/nettbrett/mobil, mens andre ønsker å etablere e-post, komme seg på internett mv. Noen er forbi det steget og ønsker å komme i gang med nettbank eller andre tjenester, både statlige og kommunale. </w:t>
      </w:r>
      <w:bookmarkStart w:id="0" w:name="_GoBack"/>
      <w:bookmarkEnd w:id="0"/>
    </w:p>
    <w:p w14:paraId="595435F1" w14:textId="77777777" w:rsidR="00456ABF" w:rsidRPr="00A94F0B" w:rsidRDefault="00456ABF" w:rsidP="00B51C80">
      <w:pPr>
        <w:jc w:val="both"/>
        <w:rPr>
          <w:rFonts w:cstheme="minorHAnsi"/>
          <w:u w:val="single"/>
        </w:rPr>
      </w:pPr>
      <w:r w:rsidRPr="00A94F0B">
        <w:rPr>
          <w:rFonts w:cstheme="minorHAnsi"/>
          <w:u w:val="single"/>
        </w:rPr>
        <w:t>Hva er digital kompetanse?</w:t>
      </w:r>
    </w:p>
    <w:p w14:paraId="0EA63865" w14:textId="77777777" w:rsidR="00456ABF" w:rsidRPr="00A94F0B" w:rsidRDefault="00456ABF" w:rsidP="00B51C80">
      <w:pPr>
        <w:jc w:val="both"/>
        <w:rPr>
          <w:rFonts w:cstheme="minorHAnsi"/>
        </w:rPr>
      </w:pPr>
      <w:r w:rsidRPr="00A94F0B">
        <w:rPr>
          <w:rFonts w:cstheme="minorHAnsi"/>
        </w:rPr>
        <w:t>Digital kompetanse er en viktig forutsetning for aktiv deltakelse i et arbeidsliv og et samfunn i stadig endring. Den digitale utviklingen har endret flere premisser for lesing, skriving, regning og muntlige uttrykksformer. Utdanningsdirektoratet definerer fire ferdighetsområder:</w:t>
      </w:r>
    </w:p>
    <w:p w14:paraId="19CE2601" w14:textId="77777777" w:rsidR="00456ABF" w:rsidRPr="00A94F0B" w:rsidRDefault="00456ABF" w:rsidP="00B51C80">
      <w:pPr>
        <w:numPr>
          <w:ilvl w:val="0"/>
          <w:numId w:val="1"/>
        </w:numPr>
        <w:spacing w:before="40" w:after="40" w:line="276" w:lineRule="auto"/>
        <w:jc w:val="both"/>
        <w:rPr>
          <w:rFonts w:eastAsia="Times New Roman" w:cstheme="minorHAnsi"/>
          <w:lang w:eastAsia="nb-NO"/>
        </w:rPr>
      </w:pPr>
      <w:r w:rsidRPr="00A94F0B">
        <w:rPr>
          <w:rFonts w:eastAsia="Times New Roman" w:cstheme="minorHAnsi"/>
          <w:b/>
          <w:bCs/>
          <w:lang w:eastAsia="nb-NO"/>
        </w:rPr>
        <w:t xml:space="preserve">Tilegne og behandle, </w:t>
      </w:r>
      <w:r w:rsidRPr="00A94F0B">
        <w:rPr>
          <w:rFonts w:eastAsia="Times New Roman" w:cstheme="minorHAnsi"/>
          <w:lang w:eastAsia="nb-NO"/>
        </w:rPr>
        <w:t>som innebærer å kunne bruke ulike digitale verktøy, medier og ressurser til å søke etter, navigere i, sortere, kategorisere og tolke digital informasjon hensiktsmessig og kritisk.</w:t>
      </w:r>
    </w:p>
    <w:p w14:paraId="1494A764" w14:textId="77777777" w:rsidR="00456ABF" w:rsidRPr="00A94F0B" w:rsidRDefault="00456ABF" w:rsidP="00B51C80">
      <w:pPr>
        <w:numPr>
          <w:ilvl w:val="0"/>
          <w:numId w:val="1"/>
        </w:numPr>
        <w:spacing w:before="40" w:after="40" w:line="276" w:lineRule="auto"/>
        <w:jc w:val="both"/>
        <w:rPr>
          <w:rFonts w:eastAsia="Times New Roman" w:cstheme="minorHAnsi"/>
          <w:lang w:eastAsia="nb-NO"/>
        </w:rPr>
      </w:pPr>
      <w:r w:rsidRPr="00A94F0B">
        <w:rPr>
          <w:rFonts w:eastAsia="Times New Roman" w:cstheme="minorHAnsi"/>
          <w:b/>
          <w:bCs/>
          <w:lang w:eastAsia="nb-NO"/>
        </w:rPr>
        <w:t>Produsere og bearbeide</w:t>
      </w:r>
      <w:r w:rsidRPr="00A94F0B">
        <w:rPr>
          <w:rFonts w:eastAsia="Times New Roman" w:cstheme="minorHAnsi"/>
          <w:lang w:eastAsia="nb-NO"/>
        </w:rPr>
        <w:t>, som innebærer å kunne bruke digitale verktøy, medier og ressurser til å sette sammen, gjenbruke, omforme og videreutvikle ulike digitale elementer til produkter, for eksempel sammensatte tekster.</w:t>
      </w:r>
    </w:p>
    <w:p w14:paraId="25E6758E" w14:textId="77777777" w:rsidR="00456ABF" w:rsidRPr="00A94F0B" w:rsidRDefault="00456ABF" w:rsidP="00B51C80">
      <w:pPr>
        <w:numPr>
          <w:ilvl w:val="0"/>
          <w:numId w:val="1"/>
        </w:numPr>
        <w:spacing w:before="40" w:after="40" w:line="276" w:lineRule="auto"/>
        <w:jc w:val="both"/>
        <w:rPr>
          <w:rFonts w:eastAsia="Times New Roman" w:cstheme="minorHAnsi"/>
          <w:lang w:eastAsia="nb-NO"/>
        </w:rPr>
      </w:pPr>
      <w:r w:rsidRPr="00A94F0B">
        <w:rPr>
          <w:rFonts w:eastAsia="Times New Roman" w:cstheme="minorHAnsi"/>
          <w:b/>
          <w:bCs/>
          <w:lang w:eastAsia="nb-NO"/>
        </w:rPr>
        <w:t>Kommunisere</w:t>
      </w:r>
      <w:r w:rsidRPr="00A94F0B">
        <w:rPr>
          <w:rFonts w:eastAsia="Times New Roman" w:cstheme="minorHAnsi"/>
          <w:lang w:eastAsia="nb-NO"/>
        </w:rPr>
        <w:t>, som innebærer å kunne bruke digitale verktøy, ressurser og medier til å samarbeide i læringsprosesser, og til å presentere egen kunnskap og kompetanse til ulike mottakere.</w:t>
      </w:r>
    </w:p>
    <w:p w14:paraId="15389457" w14:textId="77777777" w:rsidR="00456ABF" w:rsidRPr="00A94F0B" w:rsidRDefault="00456ABF" w:rsidP="00B51C80">
      <w:pPr>
        <w:numPr>
          <w:ilvl w:val="0"/>
          <w:numId w:val="1"/>
        </w:numPr>
        <w:spacing w:before="40" w:after="180" w:line="276" w:lineRule="auto"/>
        <w:jc w:val="both"/>
        <w:rPr>
          <w:rFonts w:eastAsia="Times New Roman" w:cstheme="minorHAnsi"/>
          <w:lang w:eastAsia="nb-NO"/>
        </w:rPr>
      </w:pPr>
      <w:r w:rsidRPr="00A94F0B">
        <w:rPr>
          <w:rFonts w:eastAsia="Times New Roman" w:cstheme="minorHAnsi"/>
          <w:b/>
          <w:bCs/>
          <w:lang w:eastAsia="nb-NO"/>
        </w:rPr>
        <w:lastRenderedPageBreak/>
        <w:t>Digital dømmekraft</w:t>
      </w:r>
      <w:r w:rsidRPr="00A94F0B">
        <w:rPr>
          <w:rFonts w:eastAsia="Times New Roman" w:cstheme="minorHAnsi"/>
          <w:lang w:eastAsia="nb-NO"/>
        </w:rPr>
        <w:t>, som innebærer å kunne bruke digitale verktøy, medier og ressurser på en forsvarlig måte, og å ha et bevisst forhold til personvern og etisk bruk av Internett.</w:t>
      </w:r>
    </w:p>
    <w:p w14:paraId="369F9995" w14:textId="77777777" w:rsidR="00456ABF" w:rsidRPr="00A94F0B" w:rsidRDefault="00456ABF" w:rsidP="00B51C80">
      <w:pPr>
        <w:jc w:val="both"/>
        <w:rPr>
          <w:rFonts w:cstheme="minorHAnsi"/>
        </w:rPr>
      </w:pPr>
      <w:r w:rsidRPr="00A94F0B">
        <w:rPr>
          <w:rFonts w:eastAsia="Times New Roman" w:cstheme="minorHAnsi"/>
          <w:lang w:eastAsia="nb-NO"/>
        </w:rPr>
        <w:t>Det å utvikle digitale ferdigheter innebærer å lære seg å bruke digitale verktøy, medier og ressurser. Videre innebærer det å benytte digitale verktøy, medier og ressurser til å tilegne seg faglig kunnskap og til å uttrykke egen kompetanse. I dette ligger det også en økende grad av selvstendighet og dømmekraft i valg og bruk av digitale verktøy, medier og ressurser ut fra bruksområdet</w:t>
      </w:r>
    </w:p>
    <w:p w14:paraId="23D3CA03" w14:textId="77777777" w:rsidR="00E5397C" w:rsidRPr="00E5397C" w:rsidRDefault="00E5397C" w:rsidP="00B51C80">
      <w:pPr>
        <w:jc w:val="both"/>
      </w:pPr>
    </w:p>
    <w:sectPr w:rsidR="00E5397C" w:rsidRPr="00E53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6600"/>
    <w:multiLevelType w:val="hybridMultilevel"/>
    <w:tmpl w:val="A64C372C"/>
    <w:lvl w:ilvl="0" w:tplc="A1B8C2B8">
      <w:start w:val="1"/>
      <w:numFmt w:val="bullet"/>
      <w:lvlText w:val=""/>
      <w:lvlJc w:val="left"/>
      <w:pPr>
        <w:ind w:left="360" w:hanging="360"/>
      </w:pPr>
      <w:rPr>
        <w:rFonts w:ascii="Wingdings" w:hAnsi="Wingdings" w:hint="default"/>
        <w:color w:val="FFC000" w:themeColor="accent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7C"/>
    <w:rsid w:val="002472A0"/>
    <w:rsid w:val="00456ABF"/>
    <w:rsid w:val="00717782"/>
    <w:rsid w:val="0096790E"/>
    <w:rsid w:val="00A94F0B"/>
    <w:rsid w:val="00B51C80"/>
    <w:rsid w:val="00C441D4"/>
    <w:rsid w:val="00CC5635"/>
    <w:rsid w:val="00E53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25CF"/>
  <w15:chartTrackingRefBased/>
  <w15:docId w15:val="{2359CADA-2B7F-4448-980F-1AF06BE7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5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397C"/>
    <w:rPr>
      <w:rFonts w:asciiTheme="majorHAnsi" w:eastAsiaTheme="majorEastAsia" w:hAnsiTheme="majorHAnsi" w:cstheme="majorBidi"/>
      <w:color w:val="2E74B5" w:themeColor="accent1" w:themeShade="BF"/>
      <w:sz w:val="32"/>
      <w:szCs w:val="32"/>
    </w:rPr>
  </w:style>
  <w:style w:type="character" w:styleId="Merknadsreferanse">
    <w:name w:val="annotation reference"/>
    <w:basedOn w:val="Standardskriftforavsnitt"/>
    <w:uiPriority w:val="99"/>
    <w:semiHidden/>
    <w:unhideWhenUsed/>
    <w:rsid w:val="00717782"/>
    <w:rPr>
      <w:sz w:val="16"/>
      <w:szCs w:val="16"/>
    </w:rPr>
  </w:style>
  <w:style w:type="paragraph" w:styleId="Merknadstekst">
    <w:name w:val="annotation text"/>
    <w:basedOn w:val="Normal"/>
    <w:link w:val="MerknadstekstTegn"/>
    <w:uiPriority w:val="99"/>
    <w:semiHidden/>
    <w:unhideWhenUsed/>
    <w:rsid w:val="007177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7782"/>
    <w:rPr>
      <w:sz w:val="20"/>
      <w:szCs w:val="20"/>
    </w:rPr>
  </w:style>
  <w:style w:type="paragraph" w:styleId="Kommentaremne">
    <w:name w:val="annotation subject"/>
    <w:basedOn w:val="Merknadstekst"/>
    <w:next w:val="Merknadstekst"/>
    <w:link w:val="KommentaremneTegn"/>
    <w:uiPriority w:val="99"/>
    <w:semiHidden/>
    <w:unhideWhenUsed/>
    <w:rsid w:val="00717782"/>
    <w:rPr>
      <w:b/>
      <w:bCs/>
    </w:rPr>
  </w:style>
  <w:style w:type="character" w:customStyle="1" w:styleId="KommentaremneTegn">
    <w:name w:val="Kommentaremne Tegn"/>
    <w:basedOn w:val="MerknadstekstTegn"/>
    <w:link w:val="Kommentaremne"/>
    <w:uiPriority w:val="99"/>
    <w:semiHidden/>
    <w:rsid w:val="00717782"/>
    <w:rPr>
      <w:b/>
      <w:bCs/>
      <w:sz w:val="20"/>
      <w:szCs w:val="20"/>
    </w:rPr>
  </w:style>
  <w:style w:type="paragraph" w:styleId="Bobletekst">
    <w:name w:val="Balloon Text"/>
    <w:basedOn w:val="Normal"/>
    <w:link w:val="BobletekstTegn"/>
    <w:uiPriority w:val="99"/>
    <w:semiHidden/>
    <w:unhideWhenUsed/>
    <w:rsid w:val="007177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7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537</Words>
  <Characters>2849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Gjertrud Strand Sanderød</dc:creator>
  <cp:keywords/>
  <dc:description/>
  <cp:lastModifiedBy>Gjertrud Strand Sanderød</cp:lastModifiedBy>
  <cp:revision>7</cp:revision>
  <dcterms:created xsi:type="dcterms:W3CDTF">2018-03-01T07:43:00Z</dcterms:created>
  <dcterms:modified xsi:type="dcterms:W3CDTF">2018-04-02T10:21:00Z</dcterms:modified>
</cp:coreProperties>
</file>