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lang w:eastAsia="en-US"/>
        </w:rPr>
        <w:id w:val="322625648"/>
        <w:docPartObj>
          <w:docPartGallery w:val="Cover Pages"/>
          <w:docPartUnique/>
        </w:docPartObj>
      </w:sdtPr>
      <w:sdtEndPr/>
      <w:sdtContent>
        <w:p w14:paraId="76DC44BD" w14:textId="1A069560" w:rsidR="0059351C" w:rsidRDefault="0059351C">
          <w:pPr>
            <w:pStyle w:val="Ingenmellomrom"/>
          </w:pPr>
          <w:r>
            <w:rPr>
              <w:noProof/>
            </w:rPr>
            <mc:AlternateContent>
              <mc:Choice Requires="wpg">
                <w:drawing>
                  <wp:anchor distT="0" distB="0" distL="114300" distR="114300" simplePos="0" relativeHeight="251659264" behindDoc="1" locked="0" layoutInCell="1" allowOverlap="1" wp14:anchorId="7B45F301" wp14:editId="4588606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uppe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ktangel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Femkant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fullDate="2024-08-28T00:00:00Z">
                                      <w:dateFormat w:val="dd.MM.yyyy"/>
                                      <w:lid w:val="nb-NO"/>
                                      <w:storeMappedDataAs w:val="dateTime"/>
                                      <w:calendar w:val="gregorian"/>
                                    </w:date>
                                  </w:sdtPr>
                                  <w:sdtEndPr/>
                                  <w:sdtContent>
                                    <w:p w14:paraId="23C6B9F1" w14:textId="0C873ED8" w:rsidR="0059351C" w:rsidRDefault="00F3638D">
                                      <w:pPr>
                                        <w:pStyle w:val="Ingenmellomrom"/>
                                        <w:jc w:val="right"/>
                                        <w:rPr>
                                          <w:color w:val="FFFFFF" w:themeColor="background1"/>
                                          <w:sz w:val="28"/>
                                          <w:szCs w:val="28"/>
                                        </w:rPr>
                                      </w:pPr>
                                      <w:r>
                                        <w:rPr>
                                          <w:color w:val="FFFFFF" w:themeColor="background1"/>
                                          <w:sz w:val="28"/>
                                          <w:szCs w:val="28"/>
                                        </w:rPr>
                                        <w:t>28.08.2024</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uppe 5"/>
                            <wpg:cNvGrpSpPr/>
                            <wpg:grpSpPr>
                              <a:xfrm>
                                <a:off x="76200" y="4210050"/>
                                <a:ext cx="2057400" cy="4910328"/>
                                <a:chOff x="80645" y="4211812"/>
                                <a:chExt cx="1306273" cy="3121026"/>
                              </a:xfrm>
                            </wpg:grpSpPr>
                            <wpg:grpSp>
                              <wpg:cNvPr id="6" name="Gruppe 6"/>
                              <wpg:cNvGrpSpPr>
                                <a:grpSpLocks noChangeAspect="1"/>
                              </wpg:cNvGrpSpPr>
                              <wpg:grpSpPr>
                                <a:xfrm>
                                  <a:off x="141062" y="4211812"/>
                                  <a:ext cx="1047750" cy="3121026"/>
                                  <a:chOff x="141062" y="4211812"/>
                                  <a:chExt cx="1047750" cy="3121026"/>
                                </a:xfrm>
                              </wpg:grpSpPr>
                              <wps:wsp>
                                <wps:cNvPr id="20" name="Frihånds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ihånds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ihånds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ihånds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ihånds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ihånds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ihånds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ihånds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ihånds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ihånds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ihånds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ihånds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pe 7"/>
                              <wpg:cNvGrpSpPr>
                                <a:grpSpLocks noChangeAspect="1"/>
                              </wpg:cNvGrpSpPr>
                              <wpg:grpSpPr>
                                <a:xfrm>
                                  <a:off x="80645" y="4826972"/>
                                  <a:ext cx="1306273" cy="2505863"/>
                                  <a:chOff x="80645" y="4649964"/>
                                  <a:chExt cx="874712" cy="1677988"/>
                                </a:xfrm>
                              </wpg:grpSpPr>
                              <wps:wsp>
                                <wps:cNvPr id="8" name="Frihånds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ihånds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ihånds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ihånds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ihånds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ihånds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ihånds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ihånds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ihånds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ihånds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ihånds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7B45F301" id="Gruppe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">
                    <v:rect id="Rektangel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emkant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o"/>
                              <w:tag w:val=""/>
                              <w:id w:val="-650599894"/>
                              <w:dataBinding w:prefixMappings="xmlns:ns0='http://schemas.microsoft.com/office/2006/coverPageProps' " w:xpath="/ns0:CoverPageProperties[1]/ns0:PublishDate[1]" w:storeItemID="{55AF091B-3C7A-41E3-B477-F2FDAA23CFDA}"/>
                              <w:date w:fullDate="2024-08-28T00:00:00Z">
                                <w:dateFormat w:val="dd.MM.yyyy"/>
                                <w:lid w:val="nb-NO"/>
                                <w:storeMappedDataAs w:val="dateTime"/>
                                <w:calendar w:val="gregorian"/>
                              </w:date>
                            </w:sdtPr>
                            <w:sdtEndPr/>
                            <w:sdtContent>
                              <w:p w14:paraId="23C6B9F1" w14:textId="0C873ED8" w:rsidR="0059351C" w:rsidRDefault="00F3638D">
                                <w:pPr>
                                  <w:pStyle w:val="Ingenmellomrom"/>
                                  <w:jc w:val="right"/>
                                  <w:rPr>
                                    <w:color w:val="FFFFFF" w:themeColor="background1"/>
                                    <w:sz w:val="28"/>
                                    <w:szCs w:val="28"/>
                                  </w:rPr>
                                </w:pPr>
                                <w:r>
                                  <w:rPr>
                                    <w:color w:val="FFFFFF" w:themeColor="background1"/>
                                    <w:sz w:val="28"/>
                                    <w:szCs w:val="28"/>
                                  </w:rPr>
                                  <w:t>28.08.2024</w:t>
                                </w:r>
                              </w:p>
                            </w:sdtContent>
                          </w:sdt>
                        </w:txbxContent>
                      </v:textbox>
                    </v:shape>
                    <v:group id="Gruppe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pe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ihånds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ihånds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ihånds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ihånds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ihånds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ihånds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ihånds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ihånds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ihånds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ihånds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ihånds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ihånds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uppe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ihånds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ihånds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ihånds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ihånds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ihånds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ihånds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ihånds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ihånds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ihånds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ihånds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ihånds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1BE63C30" wp14:editId="6A9FB3D5">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kstboks 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DFDBC" w14:textId="7C7F487D" w:rsidR="0059351C" w:rsidRDefault="0059351C">
                                <w:pPr>
                                  <w:pStyle w:val="Ingenmellomrom"/>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1BE63C30" id="_x0000_t202" coordsize="21600,21600" o:spt="202" path="m,l,21600r21600,l21600,xe">
                    <v:stroke joinstyle="miter"/>
                    <v:path gradientshapeok="t" o:connecttype="rect"/>
                  </v:shapetype>
                  <v:shape id="Tekstboks 2"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10ADFDBC" w14:textId="7C7F487D" w:rsidR="0059351C" w:rsidRDefault="0059351C">
                          <w:pPr>
                            <w:pStyle w:val="Ingenmellomrom"/>
                            <w:rPr>
                              <w:color w:val="595959" w:themeColor="text1" w:themeTint="A6"/>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0BC2EDA4" wp14:editId="5023585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kstboks 3"/>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EBC71F" w14:textId="6E9E0429" w:rsidR="0059351C" w:rsidRDefault="00432556">
                                <w:pPr>
                                  <w:pStyle w:val="Ingenmellomrom"/>
                                  <w:rPr>
                                    <w:rFonts w:asciiTheme="majorHAnsi" w:eastAsiaTheme="majorEastAsia" w:hAnsiTheme="majorHAnsi" w:cstheme="majorBidi"/>
                                    <w:color w:val="262626" w:themeColor="text1" w:themeTint="D9"/>
                                    <w:sz w:val="72"/>
                                  </w:rPr>
                                </w:pPr>
                                <w:r>
                                  <w:rPr>
                                    <w:rFonts w:asciiTheme="majorHAnsi" w:eastAsiaTheme="majorEastAsia" w:hAnsiTheme="majorHAnsi" w:cstheme="majorBidi"/>
                                    <w:color w:val="262626" w:themeColor="text1" w:themeTint="D9"/>
                                    <w:sz w:val="72"/>
                                    <w:szCs w:val="72"/>
                                  </w:rPr>
                                  <w:t xml:space="preserve">Landvurdering </w:t>
                                </w:r>
                              </w:p>
                              <w:p w14:paraId="5942E872" w14:textId="14DE6C18" w:rsidR="0059351C" w:rsidRDefault="006B0A33">
                                <w:pPr>
                                  <w:spacing w:before="120"/>
                                  <w:rPr>
                                    <w:color w:val="404040" w:themeColor="text1" w:themeTint="BF"/>
                                    <w:sz w:val="36"/>
                                    <w:szCs w:val="36"/>
                                  </w:rPr>
                                </w:pPr>
                                <w:r>
                                  <w:rPr>
                                    <w:color w:val="404040" w:themeColor="text1" w:themeTint="BF"/>
                                    <w:sz w:val="36"/>
                                    <w:szCs w:val="36"/>
                                  </w:rPr>
                                  <w:t xml:space="preserve">Google Workspace for </w:t>
                                </w:r>
                                <w:proofErr w:type="spellStart"/>
                                <w:r>
                                  <w:rPr>
                                    <w:color w:val="404040" w:themeColor="text1" w:themeTint="BF"/>
                                    <w:sz w:val="36"/>
                                    <w:szCs w:val="36"/>
                                  </w:rPr>
                                  <w:t>Education</w:t>
                                </w:r>
                                <w:proofErr w:type="spellEnd"/>
                                <w:r>
                                  <w:rPr>
                                    <w:color w:val="404040" w:themeColor="text1" w:themeTint="BF"/>
                                    <w:sz w:val="36"/>
                                    <w:szCs w:val="36"/>
                                  </w:rPr>
                                  <w:t xml:space="preserve"> i Taiwan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0BC2EDA4" id="Tekstboks 3"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7DEBC71F" w14:textId="6E9E0429" w:rsidR="0059351C" w:rsidRDefault="00432556">
                          <w:pPr>
                            <w:pStyle w:val="Ingenmellomrom"/>
                            <w:rPr>
                              <w:rFonts w:asciiTheme="majorHAnsi" w:eastAsiaTheme="majorEastAsia" w:hAnsiTheme="majorHAnsi" w:cstheme="majorBidi"/>
                              <w:color w:val="262626" w:themeColor="text1" w:themeTint="D9"/>
                              <w:sz w:val="72"/>
                            </w:rPr>
                          </w:pPr>
                          <w:r>
                            <w:rPr>
                              <w:rFonts w:asciiTheme="majorHAnsi" w:eastAsiaTheme="majorEastAsia" w:hAnsiTheme="majorHAnsi" w:cstheme="majorBidi"/>
                              <w:color w:val="262626" w:themeColor="text1" w:themeTint="D9"/>
                              <w:sz w:val="72"/>
                              <w:szCs w:val="72"/>
                            </w:rPr>
                            <w:t xml:space="preserve">Landvurdering </w:t>
                          </w:r>
                        </w:p>
                        <w:p w14:paraId="5942E872" w14:textId="14DE6C18" w:rsidR="0059351C" w:rsidRDefault="006B0A33">
                          <w:pPr>
                            <w:spacing w:before="120"/>
                            <w:rPr>
                              <w:color w:val="404040" w:themeColor="text1" w:themeTint="BF"/>
                              <w:sz w:val="36"/>
                              <w:szCs w:val="36"/>
                            </w:rPr>
                          </w:pPr>
                          <w:r>
                            <w:rPr>
                              <w:color w:val="404040" w:themeColor="text1" w:themeTint="BF"/>
                              <w:sz w:val="36"/>
                              <w:szCs w:val="36"/>
                            </w:rPr>
                            <w:t xml:space="preserve">Google Workspace for </w:t>
                          </w:r>
                          <w:proofErr w:type="spellStart"/>
                          <w:r>
                            <w:rPr>
                              <w:color w:val="404040" w:themeColor="text1" w:themeTint="BF"/>
                              <w:sz w:val="36"/>
                              <w:szCs w:val="36"/>
                            </w:rPr>
                            <w:t>Education</w:t>
                          </w:r>
                          <w:proofErr w:type="spellEnd"/>
                          <w:r>
                            <w:rPr>
                              <w:color w:val="404040" w:themeColor="text1" w:themeTint="BF"/>
                              <w:sz w:val="36"/>
                              <w:szCs w:val="36"/>
                            </w:rPr>
                            <w:t xml:space="preserve"> i Taiwan</w:t>
                          </w:r>
                        </w:p>
                      </w:txbxContent>
                    </v:textbox>
                    <w10:wrap anchorx="page" anchory="page"/>
                  </v:shape>
                </w:pict>
              </mc:Fallback>
            </mc:AlternateContent>
          </w:r>
        </w:p>
        <w:p w14:paraId="522427CF" w14:textId="209F62C8" w:rsidR="0074041B" w:rsidRPr="00190FF6" w:rsidRDefault="006B0A33" w:rsidP="001D358F">
          <w:r>
            <w:rPr>
              <w:noProof/>
            </w:rPr>
            <w:drawing>
              <wp:anchor distT="0" distB="0" distL="114300" distR="114300" simplePos="0" relativeHeight="251662336" behindDoc="1" locked="0" layoutInCell="1" allowOverlap="1" wp14:anchorId="22C455D7" wp14:editId="403788E3">
                <wp:simplePos x="0" y="0"/>
                <wp:positionH relativeFrom="margin">
                  <wp:align>right</wp:align>
                </wp:positionH>
                <wp:positionV relativeFrom="paragraph">
                  <wp:posOffset>7555593</wp:posOffset>
                </wp:positionV>
                <wp:extent cx="2332289" cy="1168672"/>
                <wp:effectExtent l="0" t="0" r="0" b="0"/>
                <wp:wrapNone/>
                <wp:docPr id="355020768" name="Bilde 1" descr="Et bilde som inneholder symbol, logo,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20768" name="Bilde 1" descr="Et bilde som inneholder symbol, logo, design&#10;&#10;Automatisk generert beskrivels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2289" cy="1168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351C">
            <w:br w:type="page"/>
          </w:r>
        </w:p>
      </w:sdtContent>
    </w:sdt>
    <w:sdt>
      <w:sdtPr>
        <w:rPr>
          <w:rFonts w:asciiTheme="minorHAnsi" w:eastAsiaTheme="minorHAnsi" w:hAnsiTheme="minorHAnsi" w:cstheme="minorBidi"/>
          <w:sz w:val="22"/>
          <w:szCs w:val="22"/>
          <w:lang w:eastAsia="en-US"/>
        </w:rPr>
        <w:id w:val="1055821259"/>
        <w:docPartObj>
          <w:docPartGallery w:val="Table of Contents"/>
          <w:docPartUnique/>
        </w:docPartObj>
      </w:sdtPr>
      <w:sdtEndPr>
        <w:rPr>
          <w:b/>
          <w:bCs/>
        </w:rPr>
      </w:sdtEndPr>
      <w:sdtContent>
        <w:p w14:paraId="61241C1F" w14:textId="2487A740" w:rsidR="008C2AB3" w:rsidRPr="00EE32B6" w:rsidRDefault="008C2AB3" w:rsidP="00361EF2">
          <w:pPr>
            <w:pStyle w:val="Overskriftforinnholdsfortegnelse"/>
            <w:tabs>
              <w:tab w:val="left" w:pos="7183"/>
            </w:tabs>
          </w:pPr>
          <w:r w:rsidRPr="00EE32B6">
            <w:t>Innhold</w:t>
          </w:r>
          <w:r w:rsidR="00361EF2">
            <w:tab/>
          </w:r>
        </w:p>
        <w:p w14:paraId="0F349C21" w14:textId="2C46769E" w:rsidR="00A51F04" w:rsidRDefault="008C2AB3">
          <w:pPr>
            <w:pStyle w:val="INNH2"/>
            <w:rPr>
              <w:rFonts w:eastAsiaTheme="minorEastAsia"/>
              <w:noProof/>
              <w:kern w:val="2"/>
              <w:sz w:val="24"/>
              <w:szCs w:val="24"/>
              <w:lang w:eastAsia="nb-NO"/>
              <w14:ligatures w14:val="standardContextual"/>
            </w:rPr>
          </w:pPr>
          <w:r w:rsidRPr="00EE32B6">
            <w:fldChar w:fldCharType="begin"/>
          </w:r>
          <w:r w:rsidRPr="00EE32B6">
            <w:instrText xml:space="preserve"> TOC \o "1-3" \h \z \u </w:instrText>
          </w:r>
          <w:r w:rsidRPr="00EE32B6">
            <w:fldChar w:fldCharType="separate"/>
          </w:r>
          <w:hyperlink w:anchor="_Toc175831459" w:history="1">
            <w:r w:rsidR="00A51F04" w:rsidRPr="0086096B">
              <w:rPr>
                <w:rStyle w:val="Hyperkobling"/>
                <w:bCs/>
                <w:noProof/>
              </w:rPr>
              <w:t>1.</w:t>
            </w:r>
            <w:r w:rsidR="00A51F04">
              <w:rPr>
                <w:rFonts w:eastAsiaTheme="minorEastAsia"/>
                <w:noProof/>
                <w:kern w:val="2"/>
                <w:sz w:val="24"/>
                <w:szCs w:val="24"/>
                <w:lang w:eastAsia="nb-NO"/>
                <w14:ligatures w14:val="standardContextual"/>
              </w:rPr>
              <w:tab/>
            </w:r>
            <w:r w:rsidR="00A51F04" w:rsidRPr="0086096B">
              <w:rPr>
                <w:rStyle w:val="Hyperkobling"/>
                <w:bCs/>
                <w:noProof/>
              </w:rPr>
              <w:t>Innledning</w:t>
            </w:r>
            <w:r w:rsidR="00A51F04">
              <w:rPr>
                <w:noProof/>
                <w:webHidden/>
              </w:rPr>
              <w:tab/>
            </w:r>
            <w:r w:rsidR="00A51F04">
              <w:rPr>
                <w:noProof/>
                <w:webHidden/>
              </w:rPr>
              <w:fldChar w:fldCharType="begin"/>
            </w:r>
            <w:r w:rsidR="00A51F04">
              <w:rPr>
                <w:noProof/>
                <w:webHidden/>
              </w:rPr>
              <w:instrText xml:space="preserve"> PAGEREF _Toc175831459 \h </w:instrText>
            </w:r>
            <w:r w:rsidR="00A51F04">
              <w:rPr>
                <w:noProof/>
                <w:webHidden/>
              </w:rPr>
            </w:r>
            <w:r w:rsidR="00A51F04">
              <w:rPr>
                <w:noProof/>
                <w:webHidden/>
              </w:rPr>
              <w:fldChar w:fldCharType="separate"/>
            </w:r>
            <w:r w:rsidR="00A51F04">
              <w:rPr>
                <w:noProof/>
                <w:webHidden/>
              </w:rPr>
              <w:t>2</w:t>
            </w:r>
            <w:r w:rsidR="00A51F04">
              <w:rPr>
                <w:noProof/>
                <w:webHidden/>
              </w:rPr>
              <w:fldChar w:fldCharType="end"/>
            </w:r>
          </w:hyperlink>
        </w:p>
        <w:p w14:paraId="70565A61" w14:textId="4106E8E4" w:rsidR="00A51F04" w:rsidRDefault="004979B1">
          <w:pPr>
            <w:pStyle w:val="INNH3"/>
            <w:rPr>
              <w:rFonts w:eastAsiaTheme="minorEastAsia"/>
              <w:noProof/>
              <w:kern w:val="2"/>
              <w:sz w:val="24"/>
              <w:szCs w:val="24"/>
              <w:lang w:eastAsia="nb-NO"/>
              <w14:ligatures w14:val="standardContextual"/>
            </w:rPr>
          </w:pPr>
          <w:hyperlink w:anchor="_Toc175831460" w:history="1">
            <w:r w:rsidR="00A51F04" w:rsidRPr="0086096B">
              <w:rPr>
                <w:rStyle w:val="Hyperkobling"/>
                <w:noProof/>
              </w:rPr>
              <w:t>1.1.</w:t>
            </w:r>
            <w:r w:rsidR="00A51F04">
              <w:rPr>
                <w:rFonts w:eastAsiaTheme="minorEastAsia"/>
                <w:noProof/>
                <w:kern w:val="2"/>
                <w:sz w:val="24"/>
                <w:szCs w:val="24"/>
                <w:lang w:eastAsia="nb-NO"/>
                <w14:ligatures w14:val="standardContextual"/>
              </w:rPr>
              <w:tab/>
            </w:r>
            <w:r w:rsidR="00A51F04" w:rsidRPr="0086096B">
              <w:rPr>
                <w:rStyle w:val="Hyperkobling"/>
                <w:noProof/>
              </w:rPr>
              <w:t>Beskrivelse av overføringen og formålet med landvurderingen</w:t>
            </w:r>
            <w:r w:rsidR="00A51F04">
              <w:rPr>
                <w:noProof/>
                <w:webHidden/>
              </w:rPr>
              <w:tab/>
            </w:r>
            <w:r w:rsidR="00A51F04">
              <w:rPr>
                <w:noProof/>
                <w:webHidden/>
              </w:rPr>
              <w:fldChar w:fldCharType="begin"/>
            </w:r>
            <w:r w:rsidR="00A51F04">
              <w:rPr>
                <w:noProof/>
                <w:webHidden/>
              </w:rPr>
              <w:instrText xml:space="preserve"> PAGEREF _Toc175831460 \h </w:instrText>
            </w:r>
            <w:r w:rsidR="00A51F04">
              <w:rPr>
                <w:noProof/>
                <w:webHidden/>
              </w:rPr>
            </w:r>
            <w:r w:rsidR="00A51F04">
              <w:rPr>
                <w:noProof/>
                <w:webHidden/>
              </w:rPr>
              <w:fldChar w:fldCharType="separate"/>
            </w:r>
            <w:r w:rsidR="00A51F04">
              <w:rPr>
                <w:noProof/>
                <w:webHidden/>
              </w:rPr>
              <w:t>2</w:t>
            </w:r>
            <w:r w:rsidR="00A51F04">
              <w:rPr>
                <w:noProof/>
                <w:webHidden/>
              </w:rPr>
              <w:fldChar w:fldCharType="end"/>
            </w:r>
          </w:hyperlink>
        </w:p>
        <w:p w14:paraId="3BD62483" w14:textId="4456D7B7" w:rsidR="00A51F04" w:rsidRDefault="004979B1">
          <w:pPr>
            <w:pStyle w:val="INNH3"/>
            <w:rPr>
              <w:rFonts w:eastAsiaTheme="minorEastAsia"/>
              <w:noProof/>
              <w:kern w:val="2"/>
              <w:sz w:val="24"/>
              <w:szCs w:val="24"/>
              <w:lang w:eastAsia="nb-NO"/>
              <w14:ligatures w14:val="standardContextual"/>
            </w:rPr>
          </w:pPr>
          <w:hyperlink w:anchor="_Toc175831461" w:history="1">
            <w:r w:rsidR="00A51F04" w:rsidRPr="0086096B">
              <w:rPr>
                <w:rStyle w:val="Hyperkobling"/>
                <w:noProof/>
              </w:rPr>
              <w:t>1.2.</w:t>
            </w:r>
            <w:r w:rsidR="00A51F04">
              <w:rPr>
                <w:rFonts w:eastAsiaTheme="minorEastAsia"/>
                <w:noProof/>
                <w:kern w:val="2"/>
                <w:sz w:val="24"/>
                <w:szCs w:val="24"/>
                <w:lang w:eastAsia="nb-NO"/>
                <w14:ligatures w14:val="standardContextual"/>
              </w:rPr>
              <w:tab/>
            </w:r>
            <w:r w:rsidR="00A51F04" w:rsidRPr="0086096B">
              <w:rPr>
                <w:rStyle w:val="Hyperkobling"/>
                <w:noProof/>
              </w:rPr>
              <w:t>Rettslig rammeverk</w:t>
            </w:r>
            <w:r w:rsidR="00A51F04">
              <w:rPr>
                <w:noProof/>
                <w:webHidden/>
              </w:rPr>
              <w:tab/>
            </w:r>
            <w:r w:rsidR="00A51F04">
              <w:rPr>
                <w:noProof/>
                <w:webHidden/>
              </w:rPr>
              <w:fldChar w:fldCharType="begin"/>
            </w:r>
            <w:r w:rsidR="00A51F04">
              <w:rPr>
                <w:noProof/>
                <w:webHidden/>
              </w:rPr>
              <w:instrText xml:space="preserve"> PAGEREF _Toc175831461 \h </w:instrText>
            </w:r>
            <w:r w:rsidR="00A51F04">
              <w:rPr>
                <w:noProof/>
                <w:webHidden/>
              </w:rPr>
            </w:r>
            <w:r w:rsidR="00A51F04">
              <w:rPr>
                <w:noProof/>
                <w:webHidden/>
              </w:rPr>
              <w:fldChar w:fldCharType="separate"/>
            </w:r>
            <w:r w:rsidR="00A51F04">
              <w:rPr>
                <w:noProof/>
                <w:webHidden/>
              </w:rPr>
              <w:t>2</w:t>
            </w:r>
            <w:r w:rsidR="00A51F04">
              <w:rPr>
                <w:noProof/>
                <w:webHidden/>
              </w:rPr>
              <w:fldChar w:fldCharType="end"/>
            </w:r>
          </w:hyperlink>
        </w:p>
        <w:p w14:paraId="21439760" w14:textId="6B79A31B" w:rsidR="00A51F04" w:rsidRDefault="004979B1">
          <w:pPr>
            <w:pStyle w:val="INNH3"/>
            <w:rPr>
              <w:rFonts w:eastAsiaTheme="minorEastAsia"/>
              <w:noProof/>
              <w:kern w:val="2"/>
              <w:sz w:val="24"/>
              <w:szCs w:val="24"/>
              <w:lang w:eastAsia="nb-NO"/>
              <w14:ligatures w14:val="standardContextual"/>
            </w:rPr>
          </w:pPr>
          <w:hyperlink w:anchor="_Toc175831462" w:history="1">
            <w:r w:rsidR="00A51F04" w:rsidRPr="0086096B">
              <w:rPr>
                <w:rStyle w:val="Hyperkobling"/>
                <w:noProof/>
              </w:rPr>
              <w:t>1.3.</w:t>
            </w:r>
            <w:r w:rsidR="00A51F04">
              <w:rPr>
                <w:rFonts w:eastAsiaTheme="minorEastAsia"/>
                <w:noProof/>
                <w:kern w:val="2"/>
                <w:sz w:val="24"/>
                <w:szCs w:val="24"/>
                <w:lang w:eastAsia="nb-NO"/>
                <w14:ligatures w14:val="standardContextual"/>
              </w:rPr>
              <w:tab/>
            </w:r>
            <w:r w:rsidR="00A51F04" w:rsidRPr="0086096B">
              <w:rPr>
                <w:rStyle w:val="Hyperkobling"/>
                <w:noProof/>
              </w:rPr>
              <w:t>Øvrige kilder</w:t>
            </w:r>
            <w:r w:rsidR="00A51F04">
              <w:rPr>
                <w:noProof/>
                <w:webHidden/>
              </w:rPr>
              <w:tab/>
            </w:r>
            <w:r w:rsidR="00A51F04">
              <w:rPr>
                <w:noProof/>
                <w:webHidden/>
              </w:rPr>
              <w:fldChar w:fldCharType="begin"/>
            </w:r>
            <w:r w:rsidR="00A51F04">
              <w:rPr>
                <w:noProof/>
                <w:webHidden/>
              </w:rPr>
              <w:instrText xml:space="preserve"> PAGEREF _Toc175831462 \h </w:instrText>
            </w:r>
            <w:r w:rsidR="00A51F04">
              <w:rPr>
                <w:noProof/>
                <w:webHidden/>
              </w:rPr>
            </w:r>
            <w:r w:rsidR="00A51F04">
              <w:rPr>
                <w:noProof/>
                <w:webHidden/>
              </w:rPr>
              <w:fldChar w:fldCharType="separate"/>
            </w:r>
            <w:r w:rsidR="00A51F04">
              <w:rPr>
                <w:noProof/>
                <w:webHidden/>
              </w:rPr>
              <w:t>2</w:t>
            </w:r>
            <w:r w:rsidR="00A51F04">
              <w:rPr>
                <w:noProof/>
                <w:webHidden/>
              </w:rPr>
              <w:fldChar w:fldCharType="end"/>
            </w:r>
          </w:hyperlink>
        </w:p>
        <w:p w14:paraId="3912F2ED" w14:textId="2D162225" w:rsidR="00A51F04" w:rsidRDefault="004979B1">
          <w:pPr>
            <w:pStyle w:val="INNH3"/>
            <w:rPr>
              <w:rFonts w:eastAsiaTheme="minorEastAsia"/>
              <w:noProof/>
              <w:kern w:val="2"/>
              <w:sz w:val="24"/>
              <w:szCs w:val="24"/>
              <w:lang w:eastAsia="nb-NO"/>
              <w14:ligatures w14:val="standardContextual"/>
            </w:rPr>
          </w:pPr>
          <w:hyperlink w:anchor="_Toc175831463" w:history="1">
            <w:r w:rsidR="00A51F04" w:rsidRPr="0086096B">
              <w:rPr>
                <w:rStyle w:val="Hyperkobling"/>
                <w:noProof/>
              </w:rPr>
              <w:t>1.4.</w:t>
            </w:r>
            <w:r w:rsidR="00A51F04">
              <w:rPr>
                <w:rFonts w:eastAsiaTheme="minorEastAsia"/>
                <w:noProof/>
                <w:kern w:val="2"/>
                <w:sz w:val="24"/>
                <w:szCs w:val="24"/>
                <w:lang w:eastAsia="nb-NO"/>
                <w14:ligatures w14:val="standardContextual"/>
              </w:rPr>
              <w:tab/>
            </w:r>
            <w:r w:rsidR="00A51F04" w:rsidRPr="0086096B">
              <w:rPr>
                <w:rStyle w:val="Hyperkobling"/>
                <w:noProof/>
              </w:rPr>
              <w:t>Avgrensninger og forbehold</w:t>
            </w:r>
            <w:r w:rsidR="00A51F04">
              <w:rPr>
                <w:noProof/>
                <w:webHidden/>
              </w:rPr>
              <w:tab/>
            </w:r>
            <w:r w:rsidR="00A51F04">
              <w:rPr>
                <w:noProof/>
                <w:webHidden/>
              </w:rPr>
              <w:fldChar w:fldCharType="begin"/>
            </w:r>
            <w:r w:rsidR="00A51F04">
              <w:rPr>
                <w:noProof/>
                <w:webHidden/>
              </w:rPr>
              <w:instrText xml:space="preserve"> PAGEREF _Toc175831463 \h </w:instrText>
            </w:r>
            <w:r w:rsidR="00A51F04">
              <w:rPr>
                <w:noProof/>
                <w:webHidden/>
              </w:rPr>
            </w:r>
            <w:r w:rsidR="00A51F04">
              <w:rPr>
                <w:noProof/>
                <w:webHidden/>
              </w:rPr>
              <w:fldChar w:fldCharType="separate"/>
            </w:r>
            <w:r w:rsidR="00A51F04">
              <w:rPr>
                <w:noProof/>
                <w:webHidden/>
              </w:rPr>
              <w:t>3</w:t>
            </w:r>
            <w:r w:rsidR="00A51F04">
              <w:rPr>
                <w:noProof/>
                <w:webHidden/>
              </w:rPr>
              <w:fldChar w:fldCharType="end"/>
            </w:r>
          </w:hyperlink>
        </w:p>
        <w:p w14:paraId="26FE38A7" w14:textId="39FD4D3C" w:rsidR="00A51F04" w:rsidRDefault="004979B1">
          <w:pPr>
            <w:pStyle w:val="INNH2"/>
            <w:rPr>
              <w:rFonts w:eastAsiaTheme="minorEastAsia"/>
              <w:noProof/>
              <w:kern w:val="2"/>
              <w:sz w:val="24"/>
              <w:szCs w:val="24"/>
              <w:lang w:eastAsia="nb-NO"/>
              <w14:ligatures w14:val="standardContextual"/>
            </w:rPr>
          </w:pPr>
          <w:hyperlink w:anchor="_Toc175831464" w:history="1">
            <w:r w:rsidR="00A51F04" w:rsidRPr="0086096B">
              <w:rPr>
                <w:rStyle w:val="Hyperkobling"/>
                <w:noProof/>
              </w:rPr>
              <w:t>2.</w:t>
            </w:r>
            <w:r w:rsidR="00A51F04">
              <w:rPr>
                <w:rFonts w:eastAsiaTheme="minorEastAsia"/>
                <w:noProof/>
                <w:kern w:val="2"/>
                <w:sz w:val="24"/>
                <w:szCs w:val="24"/>
                <w:lang w:eastAsia="nb-NO"/>
                <w14:ligatures w14:val="standardContextual"/>
              </w:rPr>
              <w:tab/>
            </w:r>
            <w:r w:rsidR="00A51F04" w:rsidRPr="0086096B">
              <w:rPr>
                <w:rStyle w:val="Hyperkobling"/>
                <w:bCs/>
                <w:noProof/>
              </w:rPr>
              <w:t>Oppsummering og konklusjon</w:t>
            </w:r>
            <w:r w:rsidR="00A51F04">
              <w:rPr>
                <w:noProof/>
                <w:webHidden/>
              </w:rPr>
              <w:tab/>
            </w:r>
            <w:r w:rsidR="00A51F04">
              <w:rPr>
                <w:noProof/>
                <w:webHidden/>
              </w:rPr>
              <w:fldChar w:fldCharType="begin"/>
            </w:r>
            <w:r w:rsidR="00A51F04">
              <w:rPr>
                <w:noProof/>
                <w:webHidden/>
              </w:rPr>
              <w:instrText xml:space="preserve"> PAGEREF _Toc175831464 \h </w:instrText>
            </w:r>
            <w:r w:rsidR="00A51F04">
              <w:rPr>
                <w:noProof/>
                <w:webHidden/>
              </w:rPr>
            </w:r>
            <w:r w:rsidR="00A51F04">
              <w:rPr>
                <w:noProof/>
                <w:webHidden/>
              </w:rPr>
              <w:fldChar w:fldCharType="separate"/>
            </w:r>
            <w:r w:rsidR="00A51F04">
              <w:rPr>
                <w:noProof/>
                <w:webHidden/>
              </w:rPr>
              <w:t>3</w:t>
            </w:r>
            <w:r w:rsidR="00A51F04">
              <w:rPr>
                <w:noProof/>
                <w:webHidden/>
              </w:rPr>
              <w:fldChar w:fldCharType="end"/>
            </w:r>
          </w:hyperlink>
        </w:p>
        <w:p w14:paraId="01D02E3F" w14:textId="27B6C306" w:rsidR="00A51F04" w:rsidRDefault="004979B1">
          <w:pPr>
            <w:pStyle w:val="INNH2"/>
            <w:rPr>
              <w:rFonts w:eastAsiaTheme="minorEastAsia"/>
              <w:noProof/>
              <w:kern w:val="2"/>
              <w:sz w:val="24"/>
              <w:szCs w:val="24"/>
              <w:lang w:eastAsia="nb-NO"/>
              <w14:ligatures w14:val="standardContextual"/>
            </w:rPr>
          </w:pPr>
          <w:hyperlink w:anchor="_Toc175831465" w:history="1">
            <w:r w:rsidR="00A51F04" w:rsidRPr="0086096B">
              <w:rPr>
                <w:rStyle w:val="Hyperkobling"/>
                <w:bCs/>
                <w:noProof/>
              </w:rPr>
              <w:t>3.</w:t>
            </w:r>
            <w:r w:rsidR="00A51F04">
              <w:rPr>
                <w:rFonts w:eastAsiaTheme="minorEastAsia"/>
                <w:noProof/>
                <w:kern w:val="2"/>
                <w:sz w:val="24"/>
                <w:szCs w:val="24"/>
                <w:lang w:eastAsia="nb-NO"/>
                <w14:ligatures w14:val="standardContextual"/>
              </w:rPr>
              <w:tab/>
            </w:r>
            <w:r w:rsidR="00A51F04" w:rsidRPr="0086096B">
              <w:rPr>
                <w:rStyle w:val="Hyperkobling"/>
                <w:bCs/>
                <w:noProof/>
              </w:rPr>
              <w:t>Beskrivelse av relevante regelverk i Taiwan</w:t>
            </w:r>
            <w:r w:rsidR="00A51F04">
              <w:rPr>
                <w:noProof/>
                <w:webHidden/>
              </w:rPr>
              <w:tab/>
            </w:r>
            <w:r w:rsidR="00A51F04">
              <w:rPr>
                <w:noProof/>
                <w:webHidden/>
              </w:rPr>
              <w:fldChar w:fldCharType="begin"/>
            </w:r>
            <w:r w:rsidR="00A51F04">
              <w:rPr>
                <w:noProof/>
                <w:webHidden/>
              </w:rPr>
              <w:instrText xml:space="preserve"> PAGEREF _Toc175831465 \h </w:instrText>
            </w:r>
            <w:r w:rsidR="00A51F04">
              <w:rPr>
                <w:noProof/>
                <w:webHidden/>
              </w:rPr>
            </w:r>
            <w:r w:rsidR="00A51F04">
              <w:rPr>
                <w:noProof/>
                <w:webHidden/>
              </w:rPr>
              <w:fldChar w:fldCharType="separate"/>
            </w:r>
            <w:r w:rsidR="00A51F04">
              <w:rPr>
                <w:noProof/>
                <w:webHidden/>
              </w:rPr>
              <w:t>4</w:t>
            </w:r>
            <w:r w:rsidR="00A51F04">
              <w:rPr>
                <w:noProof/>
                <w:webHidden/>
              </w:rPr>
              <w:fldChar w:fldCharType="end"/>
            </w:r>
          </w:hyperlink>
        </w:p>
        <w:p w14:paraId="2A8AD69E" w14:textId="014FC79A" w:rsidR="00A51F04" w:rsidRDefault="004979B1">
          <w:pPr>
            <w:pStyle w:val="INNH3"/>
            <w:rPr>
              <w:rFonts w:eastAsiaTheme="minorEastAsia"/>
              <w:noProof/>
              <w:kern w:val="2"/>
              <w:sz w:val="24"/>
              <w:szCs w:val="24"/>
              <w:lang w:eastAsia="nb-NO"/>
              <w14:ligatures w14:val="standardContextual"/>
            </w:rPr>
          </w:pPr>
          <w:hyperlink w:anchor="_Toc175831466" w:history="1">
            <w:r w:rsidR="00A51F04" w:rsidRPr="0086096B">
              <w:rPr>
                <w:rStyle w:val="Hyperkobling"/>
                <w:noProof/>
                <w:lang w:val="en-GB"/>
              </w:rPr>
              <w:t>3.1.</w:t>
            </w:r>
            <w:r w:rsidR="00A51F04">
              <w:rPr>
                <w:rFonts w:eastAsiaTheme="minorEastAsia"/>
                <w:noProof/>
                <w:kern w:val="2"/>
                <w:sz w:val="24"/>
                <w:szCs w:val="24"/>
                <w:lang w:eastAsia="nb-NO"/>
                <w14:ligatures w14:val="standardContextual"/>
              </w:rPr>
              <w:tab/>
            </w:r>
            <w:r w:rsidR="00A51F04" w:rsidRPr="0086096B">
              <w:rPr>
                <w:rStyle w:val="Hyperkobling"/>
                <w:noProof/>
                <w:lang w:val="en-GB"/>
              </w:rPr>
              <w:t>Personal Data Protection Act (PDPA)</w:t>
            </w:r>
            <w:r w:rsidR="00A51F04">
              <w:rPr>
                <w:noProof/>
                <w:webHidden/>
              </w:rPr>
              <w:tab/>
            </w:r>
            <w:r w:rsidR="00A51F04">
              <w:rPr>
                <w:noProof/>
                <w:webHidden/>
              </w:rPr>
              <w:fldChar w:fldCharType="begin"/>
            </w:r>
            <w:r w:rsidR="00A51F04">
              <w:rPr>
                <w:noProof/>
                <w:webHidden/>
              </w:rPr>
              <w:instrText xml:space="preserve"> PAGEREF _Toc175831466 \h </w:instrText>
            </w:r>
            <w:r w:rsidR="00A51F04">
              <w:rPr>
                <w:noProof/>
                <w:webHidden/>
              </w:rPr>
            </w:r>
            <w:r w:rsidR="00A51F04">
              <w:rPr>
                <w:noProof/>
                <w:webHidden/>
              </w:rPr>
              <w:fldChar w:fldCharType="separate"/>
            </w:r>
            <w:r w:rsidR="00A51F04">
              <w:rPr>
                <w:noProof/>
                <w:webHidden/>
              </w:rPr>
              <w:t>4</w:t>
            </w:r>
            <w:r w:rsidR="00A51F04">
              <w:rPr>
                <w:noProof/>
                <w:webHidden/>
              </w:rPr>
              <w:fldChar w:fldCharType="end"/>
            </w:r>
          </w:hyperlink>
        </w:p>
        <w:p w14:paraId="2B5839ED" w14:textId="6DD1A04A" w:rsidR="00A51F04" w:rsidRDefault="004979B1">
          <w:pPr>
            <w:pStyle w:val="INNH3"/>
            <w:rPr>
              <w:rFonts w:eastAsiaTheme="minorEastAsia"/>
              <w:noProof/>
              <w:kern w:val="2"/>
              <w:sz w:val="24"/>
              <w:szCs w:val="24"/>
              <w:lang w:eastAsia="nb-NO"/>
              <w14:ligatures w14:val="standardContextual"/>
            </w:rPr>
          </w:pPr>
          <w:hyperlink w:anchor="_Toc175831467" w:history="1">
            <w:r w:rsidR="00A51F04" w:rsidRPr="0086096B">
              <w:rPr>
                <w:rStyle w:val="Hyperkobling"/>
                <w:noProof/>
              </w:rPr>
              <w:t>3.2.</w:t>
            </w:r>
            <w:r w:rsidR="00A51F04">
              <w:rPr>
                <w:rFonts w:eastAsiaTheme="minorEastAsia"/>
                <w:noProof/>
                <w:kern w:val="2"/>
                <w:sz w:val="24"/>
                <w:szCs w:val="24"/>
                <w:lang w:eastAsia="nb-NO"/>
                <w14:ligatures w14:val="standardContextual"/>
              </w:rPr>
              <w:tab/>
            </w:r>
            <w:r w:rsidR="00A51F04" w:rsidRPr="0086096B">
              <w:rPr>
                <w:rStyle w:val="Hyperkobling"/>
                <w:noProof/>
              </w:rPr>
              <w:t>Communication Security and Surveillance Act</w:t>
            </w:r>
            <w:r w:rsidR="00A51F04">
              <w:rPr>
                <w:noProof/>
                <w:webHidden/>
              </w:rPr>
              <w:tab/>
            </w:r>
            <w:r w:rsidR="00A51F04">
              <w:rPr>
                <w:noProof/>
                <w:webHidden/>
              </w:rPr>
              <w:fldChar w:fldCharType="begin"/>
            </w:r>
            <w:r w:rsidR="00A51F04">
              <w:rPr>
                <w:noProof/>
                <w:webHidden/>
              </w:rPr>
              <w:instrText xml:space="preserve"> PAGEREF _Toc175831467 \h </w:instrText>
            </w:r>
            <w:r w:rsidR="00A51F04">
              <w:rPr>
                <w:noProof/>
                <w:webHidden/>
              </w:rPr>
            </w:r>
            <w:r w:rsidR="00A51F04">
              <w:rPr>
                <w:noProof/>
                <w:webHidden/>
              </w:rPr>
              <w:fldChar w:fldCharType="separate"/>
            </w:r>
            <w:r w:rsidR="00A51F04">
              <w:rPr>
                <w:noProof/>
                <w:webHidden/>
              </w:rPr>
              <w:t>5</w:t>
            </w:r>
            <w:r w:rsidR="00A51F04">
              <w:rPr>
                <w:noProof/>
                <w:webHidden/>
              </w:rPr>
              <w:fldChar w:fldCharType="end"/>
            </w:r>
          </w:hyperlink>
        </w:p>
        <w:p w14:paraId="72B3115C" w14:textId="355B5487" w:rsidR="00A51F04" w:rsidRDefault="004979B1">
          <w:pPr>
            <w:pStyle w:val="INNH3"/>
            <w:rPr>
              <w:rFonts w:eastAsiaTheme="minorEastAsia"/>
              <w:noProof/>
              <w:kern w:val="2"/>
              <w:sz w:val="24"/>
              <w:szCs w:val="24"/>
              <w:lang w:eastAsia="nb-NO"/>
              <w14:ligatures w14:val="standardContextual"/>
            </w:rPr>
          </w:pPr>
          <w:hyperlink w:anchor="_Toc175831468" w:history="1">
            <w:r w:rsidR="00A51F04" w:rsidRPr="0086096B">
              <w:rPr>
                <w:rStyle w:val="Hyperkobling"/>
                <w:noProof/>
                <w:lang w:val="en-GB"/>
              </w:rPr>
              <w:t>3.3.</w:t>
            </w:r>
            <w:r w:rsidR="00A51F04">
              <w:rPr>
                <w:rFonts w:eastAsiaTheme="minorEastAsia"/>
                <w:noProof/>
                <w:kern w:val="2"/>
                <w:sz w:val="24"/>
                <w:szCs w:val="24"/>
                <w:lang w:eastAsia="nb-NO"/>
                <w14:ligatures w14:val="standardContextual"/>
              </w:rPr>
              <w:tab/>
            </w:r>
            <w:r w:rsidR="00A51F04" w:rsidRPr="0086096B">
              <w:rPr>
                <w:rStyle w:val="Hyperkobling"/>
                <w:noProof/>
                <w:lang w:val="en-GB"/>
              </w:rPr>
              <w:t>Telecommunications Act og Telecommunications Management Act</w:t>
            </w:r>
            <w:r w:rsidR="00A51F04">
              <w:rPr>
                <w:noProof/>
                <w:webHidden/>
              </w:rPr>
              <w:tab/>
            </w:r>
            <w:r w:rsidR="00A51F04">
              <w:rPr>
                <w:noProof/>
                <w:webHidden/>
              </w:rPr>
              <w:fldChar w:fldCharType="begin"/>
            </w:r>
            <w:r w:rsidR="00A51F04">
              <w:rPr>
                <w:noProof/>
                <w:webHidden/>
              </w:rPr>
              <w:instrText xml:space="preserve"> PAGEREF _Toc175831468 \h </w:instrText>
            </w:r>
            <w:r w:rsidR="00A51F04">
              <w:rPr>
                <w:noProof/>
                <w:webHidden/>
              </w:rPr>
            </w:r>
            <w:r w:rsidR="00A51F04">
              <w:rPr>
                <w:noProof/>
                <w:webHidden/>
              </w:rPr>
              <w:fldChar w:fldCharType="separate"/>
            </w:r>
            <w:r w:rsidR="00A51F04">
              <w:rPr>
                <w:noProof/>
                <w:webHidden/>
              </w:rPr>
              <w:t>7</w:t>
            </w:r>
            <w:r w:rsidR="00A51F04">
              <w:rPr>
                <w:noProof/>
                <w:webHidden/>
              </w:rPr>
              <w:fldChar w:fldCharType="end"/>
            </w:r>
          </w:hyperlink>
        </w:p>
        <w:p w14:paraId="5AADF593" w14:textId="6B651A39" w:rsidR="00A51F04" w:rsidRDefault="004979B1">
          <w:pPr>
            <w:pStyle w:val="INNH2"/>
            <w:rPr>
              <w:rFonts w:eastAsiaTheme="minorEastAsia"/>
              <w:noProof/>
              <w:kern w:val="2"/>
              <w:sz w:val="24"/>
              <w:szCs w:val="24"/>
              <w:lang w:eastAsia="nb-NO"/>
              <w14:ligatures w14:val="standardContextual"/>
            </w:rPr>
          </w:pPr>
          <w:hyperlink w:anchor="_Toc175831469" w:history="1">
            <w:r w:rsidR="00A51F04" w:rsidRPr="0086096B">
              <w:rPr>
                <w:rStyle w:val="Hyperkobling"/>
                <w:bCs/>
                <w:noProof/>
              </w:rPr>
              <w:t>4.</w:t>
            </w:r>
            <w:r w:rsidR="00A51F04">
              <w:rPr>
                <w:rFonts w:eastAsiaTheme="minorEastAsia"/>
                <w:noProof/>
                <w:kern w:val="2"/>
                <w:sz w:val="24"/>
                <w:szCs w:val="24"/>
                <w:lang w:eastAsia="nb-NO"/>
                <w14:ligatures w14:val="standardContextual"/>
              </w:rPr>
              <w:tab/>
            </w:r>
            <w:r w:rsidR="00A51F04" w:rsidRPr="0086096B">
              <w:rPr>
                <w:rStyle w:val="Hyperkobling"/>
                <w:bCs/>
                <w:noProof/>
              </w:rPr>
              <w:t>Landvurderingen - Taiwan</w:t>
            </w:r>
            <w:r w:rsidR="00A51F04">
              <w:rPr>
                <w:noProof/>
                <w:webHidden/>
              </w:rPr>
              <w:tab/>
            </w:r>
            <w:r w:rsidR="00A51F04">
              <w:rPr>
                <w:noProof/>
                <w:webHidden/>
              </w:rPr>
              <w:fldChar w:fldCharType="begin"/>
            </w:r>
            <w:r w:rsidR="00A51F04">
              <w:rPr>
                <w:noProof/>
                <w:webHidden/>
              </w:rPr>
              <w:instrText xml:space="preserve"> PAGEREF _Toc175831469 \h </w:instrText>
            </w:r>
            <w:r w:rsidR="00A51F04">
              <w:rPr>
                <w:noProof/>
                <w:webHidden/>
              </w:rPr>
            </w:r>
            <w:r w:rsidR="00A51F04">
              <w:rPr>
                <w:noProof/>
                <w:webHidden/>
              </w:rPr>
              <w:fldChar w:fldCharType="separate"/>
            </w:r>
            <w:r w:rsidR="00A51F04">
              <w:rPr>
                <w:noProof/>
                <w:webHidden/>
              </w:rPr>
              <w:t>8</w:t>
            </w:r>
            <w:r w:rsidR="00A51F04">
              <w:rPr>
                <w:noProof/>
                <w:webHidden/>
              </w:rPr>
              <w:fldChar w:fldCharType="end"/>
            </w:r>
          </w:hyperlink>
        </w:p>
        <w:p w14:paraId="5EB2EBAE" w14:textId="228D1907" w:rsidR="00A51F04" w:rsidRDefault="004979B1">
          <w:pPr>
            <w:pStyle w:val="INNH3"/>
            <w:rPr>
              <w:rFonts w:eastAsiaTheme="minorEastAsia"/>
              <w:noProof/>
              <w:kern w:val="2"/>
              <w:sz w:val="24"/>
              <w:szCs w:val="24"/>
              <w:lang w:eastAsia="nb-NO"/>
              <w14:ligatures w14:val="standardContextual"/>
            </w:rPr>
          </w:pPr>
          <w:hyperlink w:anchor="_Toc175831470" w:history="1">
            <w:r w:rsidR="00A51F04" w:rsidRPr="0086096B">
              <w:rPr>
                <w:rStyle w:val="Hyperkobling"/>
                <w:noProof/>
              </w:rPr>
              <w:t>4.1.</w:t>
            </w:r>
            <w:r w:rsidR="00A51F04">
              <w:rPr>
                <w:rFonts w:eastAsiaTheme="minorEastAsia"/>
                <w:noProof/>
                <w:kern w:val="2"/>
                <w:sz w:val="24"/>
                <w:szCs w:val="24"/>
                <w:lang w:eastAsia="nb-NO"/>
                <w14:ligatures w14:val="standardContextual"/>
              </w:rPr>
              <w:tab/>
            </w:r>
            <w:r w:rsidR="00A51F04" w:rsidRPr="0086096B">
              <w:rPr>
                <w:rStyle w:val="Hyperkobling"/>
                <w:noProof/>
              </w:rPr>
              <w:t>Overordnet problemstilling og metode</w:t>
            </w:r>
            <w:r w:rsidR="00A51F04">
              <w:rPr>
                <w:noProof/>
                <w:webHidden/>
              </w:rPr>
              <w:tab/>
            </w:r>
            <w:r w:rsidR="00A51F04">
              <w:rPr>
                <w:noProof/>
                <w:webHidden/>
              </w:rPr>
              <w:fldChar w:fldCharType="begin"/>
            </w:r>
            <w:r w:rsidR="00A51F04">
              <w:rPr>
                <w:noProof/>
                <w:webHidden/>
              </w:rPr>
              <w:instrText xml:space="preserve"> PAGEREF _Toc175831470 \h </w:instrText>
            </w:r>
            <w:r w:rsidR="00A51F04">
              <w:rPr>
                <w:noProof/>
                <w:webHidden/>
              </w:rPr>
            </w:r>
            <w:r w:rsidR="00A51F04">
              <w:rPr>
                <w:noProof/>
                <w:webHidden/>
              </w:rPr>
              <w:fldChar w:fldCharType="separate"/>
            </w:r>
            <w:r w:rsidR="00A51F04">
              <w:rPr>
                <w:noProof/>
                <w:webHidden/>
              </w:rPr>
              <w:t>8</w:t>
            </w:r>
            <w:r w:rsidR="00A51F04">
              <w:rPr>
                <w:noProof/>
                <w:webHidden/>
              </w:rPr>
              <w:fldChar w:fldCharType="end"/>
            </w:r>
          </w:hyperlink>
        </w:p>
        <w:p w14:paraId="110865E7" w14:textId="31B7A3FF" w:rsidR="00A51F04" w:rsidRDefault="004979B1">
          <w:pPr>
            <w:pStyle w:val="INNH3"/>
            <w:rPr>
              <w:rFonts w:eastAsiaTheme="minorEastAsia"/>
              <w:noProof/>
              <w:kern w:val="2"/>
              <w:sz w:val="24"/>
              <w:szCs w:val="24"/>
              <w:lang w:eastAsia="nb-NO"/>
              <w14:ligatures w14:val="standardContextual"/>
            </w:rPr>
          </w:pPr>
          <w:hyperlink w:anchor="_Toc175831471" w:history="1">
            <w:r w:rsidR="00A51F04" w:rsidRPr="0086096B">
              <w:rPr>
                <w:rStyle w:val="Hyperkobling"/>
                <w:noProof/>
              </w:rPr>
              <w:t>4.2.</w:t>
            </w:r>
            <w:r w:rsidR="00A51F04">
              <w:rPr>
                <w:rFonts w:eastAsiaTheme="minorEastAsia"/>
                <w:noProof/>
                <w:kern w:val="2"/>
                <w:sz w:val="24"/>
                <w:szCs w:val="24"/>
                <w:lang w:eastAsia="nb-NO"/>
                <w14:ligatures w14:val="standardContextual"/>
              </w:rPr>
              <w:tab/>
            </w:r>
            <w:r w:rsidR="00A51F04" w:rsidRPr="0086096B">
              <w:rPr>
                <w:rStyle w:val="Hyperkobling"/>
                <w:noProof/>
              </w:rPr>
              <w:t>Regelverk som gjelder for overføringen til Taiwan</w:t>
            </w:r>
            <w:r w:rsidR="00A51F04">
              <w:rPr>
                <w:noProof/>
                <w:webHidden/>
              </w:rPr>
              <w:tab/>
            </w:r>
            <w:r w:rsidR="00A51F04">
              <w:rPr>
                <w:noProof/>
                <w:webHidden/>
              </w:rPr>
              <w:fldChar w:fldCharType="begin"/>
            </w:r>
            <w:r w:rsidR="00A51F04">
              <w:rPr>
                <w:noProof/>
                <w:webHidden/>
              </w:rPr>
              <w:instrText xml:space="preserve"> PAGEREF _Toc175831471 \h </w:instrText>
            </w:r>
            <w:r w:rsidR="00A51F04">
              <w:rPr>
                <w:noProof/>
                <w:webHidden/>
              </w:rPr>
            </w:r>
            <w:r w:rsidR="00A51F04">
              <w:rPr>
                <w:noProof/>
                <w:webHidden/>
              </w:rPr>
              <w:fldChar w:fldCharType="separate"/>
            </w:r>
            <w:r w:rsidR="00A51F04">
              <w:rPr>
                <w:noProof/>
                <w:webHidden/>
              </w:rPr>
              <w:t>9</w:t>
            </w:r>
            <w:r w:rsidR="00A51F04">
              <w:rPr>
                <w:noProof/>
                <w:webHidden/>
              </w:rPr>
              <w:fldChar w:fldCharType="end"/>
            </w:r>
          </w:hyperlink>
        </w:p>
        <w:p w14:paraId="0A3A13C8" w14:textId="5E93346E" w:rsidR="00A51F04" w:rsidRDefault="004979B1">
          <w:pPr>
            <w:pStyle w:val="INNH3"/>
            <w:rPr>
              <w:rFonts w:eastAsiaTheme="minorEastAsia"/>
              <w:noProof/>
              <w:kern w:val="2"/>
              <w:sz w:val="24"/>
              <w:szCs w:val="24"/>
              <w:lang w:eastAsia="nb-NO"/>
              <w14:ligatures w14:val="standardContextual"/>
            </w:rPr>
          </w:pPr>
          <w:hyperlink w:anchor="_Toc175831472" w:history="1">
            <w:r w:rsidR="00A51F04" w:rsidRPr="0086096B">
              <w:rPr>
                <w:rStyle w:val="Hyperkobling"/>
                <w:noProof/>
              </w:rPr>
              <w:t>4.3.</w:t>
            </w:r>
            <w:r w:rsidR="00A51F04">
              <w:rPr>
                <w:rFonts w:eastAsiaTheme="minorEastAsia"/>
                <w:noProof/>
                <w:kern w:val="2"/>
                <w:sz w:val="24"/>
                <w:szCs w:val="24"/>
                <w:lang w:eastAsia="nb-NO"/>
                <w14:ligatures w14:val="standardContextual"/>
              </w:rPr>
              <w:tab/>
            </w:r>
            <w:r w:rsidR="00A51F04" w:rsidRPr="0086096B">
              <w:rPr>
                <w:rStyle w:val="Hyperkobling"/>
                <w:noProof/>
              </w:rPr>
              <w:t>Vurdering av regelverkene som gjelder for overføringen</w:t>
            </w:r>
            <w:r w:rsidR="00A51F04">
              <w:rPr>
                <w:noProof/>
                <w:webHidden/>
              </w:rPr>
              <w:tab/>
            </w:r>
            <w:r w:rsidR="00A51F04">
              <w:rPr>
                <w:noProof/>
                <w:webHidden/>
              </w:rPr>
              <w:fldChar w:fldCharType="begin"/>
            </w:r>
            <w:r w:rsidR="00A51F04">
              <w:rPr>
                <w:noProof/>
                <w:webHidden/>
              </w:rPr>
              <w:instrText xml:space="preserve"> PAGEREF _Toc175831472 \h </w:instrText>
            </w:r>
            <w:r w:rsidR="00A51F04">
              <w:rPr>
                <w:noProof/>
                <w:webHidden/>
              </w:rPr>
            </w:r>
            <w:r w:rsidR="00A51F04">
              <w:rPr>
                <w:noProof/>
                <w:webHidden/>
              </w:rPr>
              <w:fldChar w:fldCharType="separate"/>
            </w:r>
            <w:r w:rsidR="00A51F04">
              <w:rPr>
                <w:noProof/>
                <w:webHidden/>
              </w:rPr>
              <w:t>10</w:t>
            </w:r>
            <w:r w:rsidR="00A51F04">
              <w:rPr>
                <w:noProof/>
                <w:webHidden/>
              </w:rPr>
              <w:fldChar w:fldCharType="end"/>
            </w:r>
          </w:hyperlink>
        </w:p>
        <w:p w14:paraId="7115905B" w14:textId="07FF9CB5" w:rsidR="00A51F04" w:rsidRDefault="004979B1">
          <w:pPr>
            <w:pStyle w:val="INNH3"/>
            <w:rPr>
              <w:rFonts w:eastAsiaTheme="minorEastAsia"/>
              <w:noProof/>
              <w:kern w:val="2"/>
              <w:sz w:val="24"/>
              <w:szCs w:val="24"/>
              <w:lang w:eastAsia="nb-NO"/>
              <w14:ligatures w14:val="standardContextual"/>
            </w:rPr>
          </w:pPr>
          <w:hyperlink w:anchor="_Toc175831473" w:history="1">
            <w:r w:rsidR="00A51F04" w:rsidRPr="0086096B">
              <w:rPr>
                <w:rStyle w:val="Hyperkobling"/>
                <w:noProof/>
              </w:rPr>
              <w:t>4.4.</w:t>
            </w:r>
            <w:r w:rsidR="00A51F04">
              <w:rPr>
                <w:rFonts w:eastAsiaTheme="minorEastAsia"/>
                <w:noProof/>
                <w:kern w:val="2"/>
                <w:sz w:val="24"/>
                <w:szCs w:val="24"/>
                <w:lang w:eastAsia="nb-NO"/>
                <w14:ligatures w14:val="standardContextual"/>
              </w:rPr>
              <w:tab/>
            </w:r>
            <w:r w:rsidR="00A51F04" w:rsidRPr="0086096B">
              <w:rPr>
                <w:rStyle w:val="Hyperkobling"/>
                <w:noProof/>
              </w:rPr>
              <w:t>Hvordan håndheves de relevante regelverkene i praksis</w:t>
            </w:r>
            <w:r w:rsidR="00A51F04">
              <w:rPr>
                <w:noProof/>
                <w:webHidden/>
              </w:rPr>
              <w:tab/>
            </w:r>
            <w:r w:rsidR="00A51F04">
              <w:rPr>
                <w:noProof/>
                <w:webHidden/>
              </w:rPr>
              <w:fldChar w:fldCharType="begin"/>
            </w:r>
            <w:r w:rsidR="00A51F04">
              <w:rPr>
                <w:noProof/>
                <w:webHidden/>
              </w:rPr>
              <w:instrText xml:space="preserve"> PAGEREF _Toc175831473 \h </w:instrText>
            </w:r>
            <w:r w:rsidR="00A51F04">
              <w:rPr>
                <w:noProof/>
                <w:webHidden/>
              </w:rPr>
            </w:r>
            <w:r w:rsidR="00A51F04">
              <w:rPr>
                <w:noProof/>
                <w:webHidden/>
              </w:rPr>
              <w:fldChar w:fldCharType="separate"/>
            </w:r>
            <w:r w:rsidR="00A51F04">
              <w:rPr>
                <w:noProof/>
                <w:webHidden/>
              </w:rPr>
              <w:t>12</w:t>
            </w:r>
            <w:r w:rsidR="00A51F04">
              <w:rPr>
                <w:noProof/>
                <w:webHidden/>
              </w:rPr>
              <w:fldChar w:fldCharType="end"/>
            </w:r>
          </w:hyperlink>
        </w:p>
        <w:p w14:paraId="634FF5CE" w14:textId="6C863497" w:rsidR="00A51F04" w:rsidRDefault="004979B1">
          <w:pPr>
            <w:pStyle w:val="INNH3"/>
            <w:rPr>
              <w:rFonts w:eastAsiaTheme="minorEastAsia"/>
              <w:noProof/>
              <w:kern w:val="2"/>
              <w:sz w:val="24"/>
              <w:szCs w:val="24"/>
              <w:lang w:eastAsia="nb-NO"/>
              <w14:ligatures w14:val="standardContextual"/>
            </w:rPr>
          </w:pPr>
          <w:hyperlink w:anchor="_Toc175831474" w:history="1">
            <w:r w:rsidR="00A51F04" w:rsidRPr="0086096B">
              <w:rPr>
                <w:rStyle w:val="Hyperkobling"/>
                <w:noProof/>
              </w:rPr>
              <w:t>4.5.</w:t>
            </w:r>
            <w:r w:rsidR="00A51F04">
              <w:rPr>
                <w:rFonts w:eastAsiaTheme="minorEastAsia"/>
                <w:noProof/>
                <w:kern w:val="2"/>
                <w:sz w:val="24"/>
                <w:szCs w:val="24"/>
                <w:lang w:eastAsia="nb-NO"/>
                <w14:ligatures w14:val="standardContextual"/>
              </w:rPr>
              <w:tab/>
            </w:r>
            <w:r w:rsidR="00A51F04" w:rsidRPr="0086096B">
              <w:rPr>
                <w:rStyle w:val="Hyperkobling"/>
                <w:noProof/>
              </w:rPr>
              <w:t>Oppsummering av praksis</w:t>
            </w:r>
            <w:r w:rsidR="00A51F04">
              <w:rPr>
                <w:noProof/>
                <w:webHidden/>
              </w:rPr>
              <w:tab/>
            </w:r>
            <w:r w:rsidR="00A51F04">
              <w:rPr>
                <w:noProof/>
                <w:webHidden/>
              </w:rPr>
              <w:fldChar w:fldCharType="begin"/>
            </w:r>
            <w:r w:rsidR="00A51F04">
              <w:rPr>
                <w:noProof/>
                <w:webHidden/>
              </w:rPr>
              <w:instrText xml:space="preserve"> PAGEREF _Toc175831474 \h </w:instrText>
            </w:r>
            <w:r w:rsidR="00A51F04">
              <w:rPr>
                <w:noProof/>
                <w:webHidden/>
              </w:rPr>
            </w:r>
            <w:r w:rsidR="00A51F04">
              <w:rPr>
                <w:noProof/>
                <w:webHidden/>
              </w:rPr>
              <w:fldChar w:fldCharType="separate"/>
            </w:r>
            <w:r w:rsidR="00A51F04">
              <w:rPr>
                <w:noProof/>
                <w:webHidden/>
              </w:rPr>
              <w:t>17</w:t>
            </w:r>
            <w:r w:rsidR="00A51F04">
              <w:rPr>
                <w:noProof/>
                <w:webHidden/>
              </w:rPr>
              <w:fldChar w:fldCharType="end"/>
            </w:r>
          </w:hyperlink>
        </w:p>
        <w:p w14:paraId="0D95DEB1" w14:textId="107A7351" w:rsidR="00A51F04" w:rsidRDefault="004979B1">
          <w:pPr>
            <w:pStyle w:val="INNH2"/>
            <w:rPr>
              <w:rFonts w:eastAsiaTheme="minorEastAsia"/>
              <w:noProof/>
              <w:kern w:val="2"/>
              <w:sz w:val="24"/>
              <w:szCs w:val="24"/>
              <w:lang w:eastAsia="nb-NO"/>
              <w14:ligatures w14:val="standardContextual"/>
            </w:rPr>
          </w:pPr>
          <w:hyperlink w:anchor="_Toc175831475" w:history="1">
            <w:r w:rsidR="00A51F04" w:rsidRPr="0086096B">
              <w:rPr>
                <w:rStyle w:val="Hyperkobling"/>
                <w:bCs/>
                <w:noProof/>
              </w:rPr>
              <w:t>5.</w:t>
            </w:r>
            <w:r w:rsidR="00A51F04">
              <w:rPr>
                <w:rFonts w:eastAsiaTheme="minorEastAsia"/>
                <w:noProof/>
                <w:kern w:val="2"/>
                <w:sz w:val="24"/>
                <w:szCs w:val="24"/>
                <w:lang w:eastAsia="nb-NO"/>
                <w14:ligatures w14:val="standardContextual"/>
              </w:rPr>
              <w:tab/>
            </w:r>
            <w:r w:rsidR="00A51F04" w:rsidRPr="0086096B">
              <w:rPr>
                <w:rStyle w:val="Hyperkobling"/>
                <w:bCs/>
                <w:noProof/>
              </w:rPr>
              <w:t>Konklusjon og anbefaling</w:t>
            </w:r>
            <w:r w:rsidR="00A51F04">
              <w:rPr>
                <w:noProof/>
                <w:webHidden/>
              </w:rPr>
              <w:tab/>
            </w:r>
            <w:r w:rsidR="00A51F04">
              <w:rPr>
                <w:noProof/>
                <w:webHidden/>
              </w:rPr>
              <w:fldChar w:fldCharType="begin"/>
            </w:r>
            <w:r w:rsidR="00A51F04">
              <w:rPr>
                <w:noProof/>
                <w:webHidden/>
              </w:rPr>
              <w:instrText xml:space="preserve"> PAGEREF _Toc175831475 \h </w:instrText>
            </w:r>
            <w:r w:rsidR="00A51F04">
              <w:rPr>
                <w:noProof/>
                <w:webHidden/>
              </w:rPr>
            </w:r>
            <w:r w:rsidR="00A51F04">
              <w:rPr>
                <w:noProof/>
                <w:webHidden/>
              </w:rPr>
              <w:fldChar w:fldCharType="separate"/>
            </w:r>
            <w:r w:rsidR="00A51F04">
              <w:rPr>
                <w:noProof/>
                <w:webHidden/>
              </w:rPr>
              <w:t>17</w:t>
            </w:r>
            <w:r w:rsidR="00A51F04">
              <w:rPr>
                <w:noProof/>
                <w:webHidden/>
              </w:rPr>
              <w:fldChar w:fldCharType="end"/>
            </w:r>
          </w:hyperlink>
        </w:p>
        <w:p w14:paraId="498CF3A2" w14:textId="581C135C" w:rsidR="00A51F04" w:rsidRDefault="004979B1">
          <w:pPr>
            <w:pStyle w:val="INNH1"/>
            <w:tabs>
              <w:tab w:val="right" w:leader="dot" w:pos="9062"/>
            </w:tabs>
            <w:rPr>
              <w:rFonts w:eastAsiaTheme="minorEastAsia"/>
              <w:noProof/>
              <w:kern w:val="2"/>
              <w:sz w:val="24"/>
              <w:szCs w:val="24"/>
              <w:lang w:eastAsia="nb-NO"/>
              <w14:ligatures w14:val="standardContextual"/>
            </w:rPr>
          </w:pPr>
          <w:hyperlink w:anchor="_Toc175831476" w:history="1">
            <w:r w:rsidR="00A51F04" w:rsidRPr="0086096B">
              <w:rPr>
                <w:rStyle w:val="Hyperkobling"/>
                <w:noProof/>
              </w:rPr>
              <w:t>Litteraturliste</w:t>
            </w:r>
            <w:r w:rsidR="00A51F04">
              <w:rPr>
                <w:noProof/>
                <w:webHidden/>
              </w:rPr>
              <w:tab/>
            </w:r>
            <w:r w:rsidR="00A51F04">
              <w:rPr>
                <w:noProof/>
                <w:webHidden/>
              </w:rPr>
              <w:fldChar w:fldCharType="begin"/>
            </w:r>
            <w:r w:rsidR="00A51F04">
              <w:rPr>
                <w:noProof/>
                <w:webHidden/>
              </w:rPr>
              <w:instrText xml:space="preserve"> PAGEREF _Toc175831476 \h </w:instrText>
            </w:r>
            <w:r w:rsidR="00A51F04">
              <w:rPr>
                <w:noProof/>
                <w:webHidden/>
              </w:rPr>
            </w:r>
            <w:r w:rsidR="00A51F04">
              <w:rPr>
                <w:noProof/>
                <w:webHidden/>
              </w:rPr>
              <w:fldChar w:fldCharType="separate"/>
            </w:r>
            <w:r w:rsidR="00A51F04">
              <w:rPr>
                <w:noProof/>
                <w:webHidden/>
              </w:rPr>
              <w:t>19</w:t>
            </w:r>
            <w:r w:rsidR="00A51F04">
              <w:rPr>
                <w:noProof/>
                <w:webHidden/>
              </w:rPr>
              <w:fldChar w:fldCharType="end"/>
            </w:r>
          </w:hyperlink>
        </w:p>
        <w:p w14:paraId="3F6B64B2" w14:textId="45DFB2FE" w:rsidR="00A51F04" w:rsidRDefault="004979B1">
          <w:pPr>
            <w:pStyle w:val="INNH1"/>
            <w:tabs>
              <w:tab w:val="right" w:leader="dot" w:pos="9062"/>
            </w:tabs>
            <w:rPr>
              <w:rFonts w:eastAsiaTheme="minorEastAsia"/>
              <w:noProof/>
              <w:kern w:val="2"/>
              <w:sz w:val="24"/>
              <w:szCs w:val="24"/>
              <w:lang w:eastAsia="nb-NO"/>
              <w14:ligatures w14:val="standardContextual"/>
            </w:rPr>
          </w:pPr>
          <w:hyperlink w:anchor="_Toc175831477" w:history="1">
            <w:r w:rsidR="00A51F04" w:rsidRPr="0086096B">
              <w:rPr>
                <w:rStyle w:val="Hyperkobling"/>
                <w:noProof/>
              </w:rPr>
              <w:t>Spørsmål og svar fra lokal ekspertise ved advokatfirmaet Nishimura &amp; Asahi Taiwan</w:t>
            </w:r>
            <w:r w:rsidR="00A51F04">
              <w:rPr>
                <w:noProof/>
                <w:webHidden/>
              </w:rPr>
              <w:tab/>
            </w:r>
            <w:r w:rsidR="00A51F04">
              <w:rPr>
                <w:noProof/>
                <w:webHidden/>
              </w:rPr>
              <w:fldChar w:fldCharType="begin"/>
            </w:r>
            <w:r w:rsidR="00A51F04">
              <w:rPr>
                <w:noProof/>
                <w:webHidden/>
              </w:rPr>
              <w:instrText xml:space="preserve"> PAGEREF _Toc175831477 \h </w:instrText>
            </w:r>
            <w:r w:rsidR="00A51F04">
              <w:rPr>
                <w:noProof/>
                <w:webHidden/>
              </w:rPr>
            </w:r>
            <w:r w:rsidR="00A51F04">
              <w:rPr>
                <w:noProof/>
                <w:webHidden/>
              </w:rPr>
              <w:fldChar w:fldCharType="separate"/>
            </w:r>
            <w:r w:rsidR="00A51F04">
              <w:rPr>
                <w:noProof/>
                <w:webHidden/>
              </w:rPr>
              <w:t>21</w:t>
            </w:r>
            <w:r w:rsidR="00A51F04">
              <w:rPr>
                <w:noProof/>
                <w:webHidden/>
              </w:rPr>
              <w:fldChar w:fldCharType="end"/>
            </w:r>
          </w:hyperlink>
        </w:p>
        <w:p w14:paraId="4157B418" w14:textId="1602C826" w:rsidR="008C2AB3" w:rsidRPr="00EE32B6" w:rsidRDefault="008C2AB3">
          <w:r w:rsidRPr="00EE32B6">
            <w:rPr>
              <w:b/>
              <w:bCs/>
            </w:rPr>
            <w:fldChar w:fldCharType="end"/>
          </w:r>
        </w:p>
      </w:sdtContent>
    </w:sdt>
    <w:p w14:paraId="71CBB550" w14:textId="77777777" w:rsidR="001D358F" w:rsidRPr="00EE32B6" w:rsidRDefault="001D358F" w:rsidP="001D358F"/>
    <w:p w14:paraId="6F70BDDC" w14:textId="77777777" w:rsidR="001D358F" w:rsidRPr="00EE32B6" w:rsidRDefault="001D358F" w:rsidP="001D358F"/>
    <w:p w14:paraId="0C123568" w14:textId="77777777" w:rsidR="001D358F" w:rsidRPr="00EE32B6" w:rsidRDefault="001D358F" w:rsidP="001D358F"/>
    <w:p w14:paraId="14007C0D" w14:textId="77777777" w:rsidR="001D358F" w:rsidRDefault="001D358F" w:rsidP="001D358F"/>
    <w:p w14:paraId="76D06D23" w14:textId="77777777" w:rsidR="00150B51" w:rsidRDefault="00150B51" w:rsidP="001D358F"/>
    <w:p w14:paraId="220970CB" w14:textId="77777777" w:rsidR="00150B51" w:rsidRDefault="00150B51" w:rsidP="001D358F"/>
    <w:p w14:paraId="2574C136" w14:textId="77777777" w:rsidR="00150B51" w:rsidRDefault="00150B51" w:rsidP="001D358F"/>
    <w:p w14:paraId="2594A81A" w14:textId="77777777" w:rsidR="00150B51" w:rsidRDefault="00150B51" w:rsidP="001D358F"/>
    <w:p w14:paraId="1F4927FE" w14:textId="77777777" w:rsidR="0074041B" w:rsidRDefault="0074041B" w:rsidP="001D358F"/>
    <w:p w14:paraId="1C94F329" w14:textId="77777777" w:rsidR="0074041B" w:rsidRPr="00EE32B6" w:rsidRDefault="0074041B" w:rsidP="001D358F"/>
    <w:p w14:paraId="33EED28C" w14:textId="77777777" w:rsidR="001D358F" w:rsidRPr="00EE32B6" w:rsidRDefault="001D358F" w:rsidP="001D358F"/>
    <w:p w14:paraId="648CE81D" w14:textId="77777777" w:rsidR="00F57C3D" w:rsidRDefault="00F57C3D" w:rsidP="00F57C3D"/>
    <w:p w14:paraId="6FDEE1F6" w14:textId="77777777" w:rsidR="0006248F" w:rsidRDefault="0006248F" w:rsidP="00F57C3D"/>
    <w:p w14:paraId="24AAFEE5" w14:textId="77777777" w:rsidR="0006248F" w:rsidRPr="00EE32B6" w:rsidRDefault="0006248F" w:rsidP="00F57C3D"/>
    <w:p w14:paraId="7949FB03" w14:textId="3C4F3546" w:rsidR="003B691A" w:rsidRPr="008864D0" w:rsidRDefault="00714174" w:rsidP="003B691A">
      <w:pPr>
        <w:pStyle w:val="Overskrift2"/>
        <w:numPr>
          <w:ilvl w:val="0"/>
          <w:numId w:val="6"/>
        </w:numPr>
        <w:rPr>
          <w:b w:val="0"/>
          <w:bCs/>
        </w:rPr>
      </w:pPr>
      <w:bookmarkStart w:id="0" w:name="_Toc175831459"/>
      <w:r w:rsidRPr="00EE32B6">
        <w:rPr>
          <w:b w:val="0"/>
          <w:bCs/>
        </w:rPr>
        <w:t>Innledning</w:t>
      </w:r>
      <w:bookmarkEnd w:id="0"/>
    </w:p>
    <w:p w14:paraId="7EF191BA" w14:textId="3F2B7627" w:rsidR="00826164" w:rsidRPr="00EE32B6" w:rsidRDefault="00EC58C5" w:rsidP="00241913">
      <w:pPr>
        <w:pStyle w:val="Overskrift3"/>
      </w:pPr>
      <w:bookmarkStart w:id="1" w:name="_Toc175831460"/>
      <w:r w:rsidRPr="00EE32B6">
        <w:t xml:space="preserve">Beskrivelse av overføringen og formålet med </w:t>
      </w:r>
      <w:r w:rsidR="00683D3A">
        <w:t>landvurdering</w:t>
      </w:r>
      <w:r w:rsidR="002D4CAB">
        <w:t>en</w:t>
      </w:r>
      <w:bookmarkEnd w:id="1"/>
    </w:p>
    <w:p w14:paraId="70317162" w14:textId="0F551DAF" w:rsidR="00D27EB2" w:rsidRPr="00EE32B6" w:rsidRDefault="00332FFE" w:rsidP="00D27EB2">
      <w:r w:rsidRPr="00EE32B6">
        <w:t>Norske kommuner benytter</w:t>
      </w:r>
      <w:r w:rsidR="00241E63" w:rsidRPr="00EE32B6">
        <w:t xml:space="preserve"> skytjenester under</w:t>
      </w:r>
      <w:r w:rsidRPr="00EE32B6">
        <w:t xml:space="preserve"> Google Workspace for </w:t>
      </w:r>
      <w:proofErr w:type="spellStart"/>
      <w:r w:rsidRPr="00EE32B6">
        <w:t>Education</w:t>
      </w:r>
      <w:proofErr w:type="spellEnd"/>
      <w:r w:rsidR="00107FB2" w:rsidRPr="00EE32B6">
        <w:t xml:space="preserve"> (</w:t>
      </w:r>
      <w:r w:rsidR="00EA04D7" w:rsidRPr="00EE32B6">
        <w:t>"</w:t>
      </w:r>
      <w:r w:rsidR="00107FB2" w:rsidRPr="00EE32B6">
        <w:rPr>
          <w:b/>
          <w:bCs/>
        </w:rPr>
        <w:t>GWE</w:t>
      </w:r>
      <w:r w:rsidR="00EA04D7" w:rsidRPr="00EE32B6">
        <w:t>"</w:t>
      </w:r>
      <w:r w:rsidR="00107FB2" w:rsidRPr="00EE32B6">
        <w:t>)</w:t>
      </w:r>
      <w:r w:rsidR="00F21C47" w:rsidRPr="00EE32B6">
        <w:t xml:space="preserve"> i </w:t>
      </w:r>
      <w:r w:rsidR="00AB23C3" w:rsidRPr="00EE32B6">
        <w:t xml:space="preserve">grunnskolen. Dette </w:t>
      </w:r>
      <w:r w:rsidR="00F21C47" w:rsidRPr="00EE32B6">
        <w:t xml:space="preserve">innebærer </w:t>
      </w:r>
      <w:r w:rsidR="00AB23C3" w:rsidRPr="00EE32B6">
        <w:t>at det blir behandlet</w:t>
      </w:r>
      <w:r w:rsidR="00F21C47" w:rsidRPr="00EE32B6">
        <w:t xml:space="preserve"> personopplysninger</w:t>
      </w:r>
      <w:r w:rsidR="00DF02DB" w:rsidRPr="00EE32B6">
        <w:t xml:space="preserve"> om elever, fore</w:t>
      </w:r>
      <w:r w:rsidR="00B21CEF">
        <w:t>satte</w:t>
      </w:r>
      <w:r w:rsidR="00DF02DB" w:rsidRPr="00EE32B6">
        <w:t xml:space="preserve"> og ansatte. Ved bruk av Google-</w:t>
      </w:r>
      <w:r w:rsidR="004B78CE" w:rsidRPr="00EE32B6">
        <w:t>tjenesten vil det skje overføringer til eller fjerntilgang fra</w:t>
      </w:r>
      <w:r w:rsidR="009B4A1C" w:rsidRPr="00EE32B6">
        <w:t xml:space="preserve"> som ikke er omfattet av en </w:t>
      </w:r>
      <w:r w:rsidR="00BE4A63" w:rsidRPr="00EE32B6">
        <w:t>adekvansbeslutning fra EU-</w:t>
      </w:r>
      <w:r w:rsidR="00353572" w:rsidRPr="00EE32B6">
        <w:t>kommisjonen</w:t>
      </w:r>
      <w:r w:rsidR="007862F8" w:rsidRPr="00EE32B6">
        <w:t xml:space="preserve"> i henhold til GDPR artikkel</w:t>
      </w:r>
      <w:r w:rsidR="00202C4D" w:rsidRPr="00EE32B6">
        <w:t xml:space="preserve"> 45</w:t>
      </w:r>
      <w:r w:rsidR="00BE4A63" w:rsidRPr="00EE32B6">
        <w:t xml:space="preserve">. </w:t>
      </w:r>
    </w:p>
    <w:p w14:paraId="7D076B7B" w14:textId="4FA6E184" w:rsidR="00942FC9" w:rsidRPr="00EE32B6" w:rsidRDefault="005876C8" w:rsidP="00D27EB2">
      <w:r w:rsidRPr="00EE32B6">
        <w:t xml:space="preserve">Bruk av GWE innebærer </w:t>
      </w:r>
      <w:r w:rsidR="00AF4BB0">
        <w:t xml:space="preserve">at Google </w:t>
      </w:r>
      <w:r w:rsidRPr="00EE32B6">
        <w:t>lagr</w:t>
      </w:r>
      <w:r w:rsidR="00AF4BB0">
        <w:t>er data</w:t>
      </w:r>
      <w:r w:rsidRPr="00EE32B6">
        <w:t xml:space="preserve"> på servere</w:t>
      </w:r>
      <w:r w:rsidR="00AF4BB0" w:rsidRPr="00AF4BB0">
        <w:t xml:space="preserve"> </w:t>
      </w:r>
      <w:r w:rsidR="00AF4BB0" w:rsidRPr="00EE32B6">
        <w:t>i Taiwan</w:t>
      </w:r>
      <w:r w:rsidRPr="00EE32B6">
        <w:t xml:space="preserve">. </w:t>
      </w:r>
      <w:r w:rsidR="00942FC9" w:rsidRPr="00EE32B6">
        <w:t>Overføringene gjelder</w:t>
      </w:r>
      <w:r w:rsidR="00FB38F8" w:rsidRPr="00EE32B6">
        <w:t xml:space="preserve"> personopplysninger </w:t>
      </w:r>
      <w:r w:rsidR="00C20C21">
        <w:t xml:space="preserve">om norske brukere av Google Workspace for </w:t>
      </w:r>
      <w:proofErr w:type="spellStart"/>
      <w:r w:rsidR="00C20C21">
        <w:t>Education</w:t>
      </w:r>
      <w:proofErr w:type="spellEnd"/>
      <w:r w:rsidR="00C20C21">
        <w:t>, herunder elever, lærere og foresatte</w:t>
      </w:r>
      <w:r w:rsidR="00FB38F8" w:rsidRPr="00EE32B6">
        <w:t xml:space="preserve">. </w:t>
      </w:r>
      <w:r w:rsidR="008E25B2" w:rsidRPr="00EE32B6">
        <w:t xml:space="preserve">Overføringene vil </w:t>
      </w:r>
      <w:r w:rsidR="00045CF5" w:rsidRPr="00EE32B6">
        <w:t xml:space="preserve">skje på fortløpende basis. </w:t>
      </w:r>
      <w:r w:rsidR="002046C7" w:rsidRPr="00EE32B6">
        <w:t xml:space="preserve">Personopplysningene behandles lokalt og på dataservere i Norge/EU, men kan bli overført til Taiwan </w:t>
      </w:r>
      <w:r w:rsidR="00624E13" w:rsidRPr="00EE32B6">
        <w:t xml:space="preserve">for formål </w:t>
      </w:r>
      <w:r w:rsidR="00C20C21">
        <w:t>knyttet lagring</w:t>
      </w:r>
      <w:r w:rsidR="00DB5131">
        <w:t xml:space="preserve"> (skylagring hvor dataene ligger fysisk på en server i Taiwan</w:t>
      </w:r>
      <w:r w:rsidR="00241E63" w:rsidRPr="00EE32B6">
        <w:t>.</w:t>
      </w:r>
      <w:r w:rsidR="003F660A" w:rsidRPr="00EE32B6">
        <w:t xml:space="preserve"> </w:t>
      </w:r>
    </w:p>
    <w:p w14:paraId="7584943D" w14:textId="17444F14" w:rsidR="00353572" w:rsidRPr="00EE32B6" w:rsidRDefault="00353572" w:rsidP="00D27EB2">
      <w:r w:rsidRPr="00EE32B6">
        <w:t>Kommunen er behandlingsansvarlig for disse overføringene</w:t>
      </w:r>
      <w:r w:rsidR="007862F8" w:rsidRPr="00EE32B6">
        <w:t xml:space="preserve"> og må derfor vurdere risikoen ved overføringen</w:t>
      </w:r>
      <w:r w:rsidR="00385912" w:rsidRPr="00EE32B6">
        <w:t>e</w:t>
      </w:r>
      <w:r w:rsidR="00CC7553" w:rsidRPr="00EE32B6">
        <w:t>, samt inngå nødvendig Standard Contractual Clauses (</w:t>
      </w:r>
      <w:r w:rsidR="00AF4BB0">
        <w:t>"</w:t>
      </w:r>
      <w:r w:rsidR="00CC7553" w:rsidRPr="006217A8">
        <w:rPr>
          <w:b/>
          <w:bCs/>
        </w:rPr>
        <w:t>SCC</w:t>
      </w:r>
      <w:r w:rsidR="00AF4BB0">
        <w:t>"</w:t>
      </w:r>
      <w:r w:rsidR="00CC7553" w:rsidRPr="00EE32B6">
        <w:t>)</w:t>
      </w:r>
      <w:r w:rsidR="000926AA" w:rsidRPr="00EE32B6">
        <w:t xml:space="preserve"> som publisert av EU-kommisjonen</w:t>
      </w:r>
      <w:r w:rsidR="00CC7553" w:rsidRPr="00EE32B6">
        <w:t xml:space="preserve"> og gjennomføre </w:t>
      </w:r>
      <w:r w:rsidR="008E4676" w:rsidRPr="00EE32B6">
        <w:t xml:space="preserve">en Transfer </w:t>
      </w:r>
      <w:proofErr w:type="spellStart"/>
      <w:r w:rsidR="008E4676" w:rsidRPr="00EE32B6">
        <w:t>Impact</w:t>
      </w:r>
      <w:proofErr w:type="spellEnd"/>
      <w:r w:rsidR="008E4676" w:rsidRPr="00EE32B6">
        <w:t xml:space="preserve"> </w:t>
      </w:r>
      <w:proofErr w:type="spellStart"/>
      <w:r w:rsidR="008E4676" w:rsidRPr="00EE32B6">
        <w:t>Assessment</w:t>
      </w:r>
      <w:proofErr w:type="spellEnd"/>
      <w:r w:rsidR="008E4676" w:rsidRPr="00EE32B6">
        <w:t xml:space="preserve"> (</w:t>
      </w:r>
      <w:r w:rsidR="00AF4BB0">
        <w:t>"</w:t>
      </w:r>
      <w:r w:rsidR="008E4676" w:rsidRPr="006217A8">
        <w:rPr>
          <w:b/>
          <w:bCs/>
        </w:rPr>
        <w:t>TIA</w:t>
      </w:r>
      <w:r w:rsidR="00AF4BB0">
        <w:t>"</w:t>
      </w:r>
      <w:r w:rsidR="008E4676" w:rsidRPr="00EE32B6">
        <w:t>)</w:t>
      </w:r>
      <w:r w:rsidR="00CC7553" w:rsidRPr="00EE32B6">
        <w:t xml:space="preserve"> med implementering av nødvendige </w:t>
      </w:r>
      <w:r w:rsidR="00584091" w:rsidRPr="00EE32B6">
        <w:t>sikkerhetstiltak for overføringene</w:t>
      </w:r>
      <w:r w:rsidR="00754233" w:rsidRPr="00EE32B6">
        <w:t xml:space="preserve"> dersom SCC ikke i seg selv er tilstrekkelig</w:t>
      </w:r>
      <w:r w:rsidR="007862F8" w:rsidRPr="00EE32B6">
        <w:t>.</w:t>
      </w:r>
    </w:p>
    <w:p w14:paraId="163172F7" w14:textId="58CBD438" w:rsidR="00D676A4" w:rsidRPr="00EE32B6" w:rsidRDefault="00584091" w:rsidP="00D2621B">
      <w:r w:rsidRPr="00EE32B6">
        <w:t xml:space="preserve">Denne </w:t>
      </w:r>
      <w:r w:rsidR="002D4CAB">
        <w:t>landvurderingen</w:t>
      </w:r>
      <w:r w:rsidRPr="00EE32B6">
        <w:t xml:space="preserve"> skal </w:t>
      </w:r>
      <w:r w:rsidR="00E33F25" w:rsidRPr="00EE32B6">
        <w:t xml:space="preserve">gi kommunene veiledning i hvordan å vurdere beskyttelsesnivå og sikkerhetstiltak for </w:t>
      </w:r>
      <w:r w:rsidR="008E4676" w:rsidRPr="00EE32B6">
        <w:t>Taiwan slik at kommunen selv kan gjennomføre en TIA.</w:t>
      </w:r>
      <w:r w:rsidR="007C56D1" w:rsidRPr="00EE32B6">
        <w:t xml:space="preserve"> For å vurdere beskyttelsesnivået </w:t>
      </w:r>
      <w:r w:rsidR="00B13A06" w:rsidRPr="00EE32B6">
        <w:t xml:space="preserve">ved overføringene </w:t>
      </w:r>
      <w:r w:rsidR="007C56D1" w:rsidRPr="00EE32B6">
        <w:t xml:space="preserve">må kommunen </w:t>
      </w:r>
      <w:r w:rsidR="00B13A06" w:rsidRPr="00EE32B6">
        <w:t>vurdere lovgivningen og rettspraksis i importlandet, og denne</w:t>
      </w:r>
      <w:r w:rsidR="00782DE3" w:rsidRPr="00EE32B6">
        <w:t xml:space="preserve"> </w:t>
      </w:r>
      <w:r w:rsidR="002D4CAB">
        <w:t>landvurderingen</w:t>
      </w:r>
      <w:r w:rsidR="00782DE3" w:rsidRPr="00EE32B6">
        <w:t xml:space="preserve"> gjennomgår relevant lovgivning i Taiwan som påvirker personvernet for nors</w:t>
      </w:r>
      <w:r w:rsidR="00B23B4B" w:rsidRPr="00EE32B6">
        <w:t>k</w:t>
      </w:r>
      <w:r w:rsidR="00782DE3" w:rsidRPr="00EE32B6">
        <w:t>e registrerte.</w:t>
      </w:r>
    </w:p>
    <w:p w14:paraId="669C70E0" w14:textId="3A6391E8" w:rsidR="001747F5" w:rsidRPr="00EE32B6" w:rsidRDefault="00F57C3D" w:rsidP="00241913">
      <w:pPr>
        <w:pStyle w:val="Overskrift3"/>
      </w:pPr>
      <w:bookmarkStart w:id="2" w:name="_Ref161735959"/>
      <w:bookmarkStart w:id="3" w:name="_Toc175831461"/>
      <w:r w:rsidRPr="00EE32B6">
        <w:t>Retts</w:t>
      </w:r>
      <w:r w:rsidR="005B5A2D" w:rsidRPr="00EE32B6">
        <w:t>lig rammeverk</w:t>
      </w:r>
      <w:bookmarkEnd w:id="2"/>
      <w:bookmarkEnd w:id="3"/>
    </w:p>
    <w:p w14:paraId="541685C7" w14:textId="6BFCC3AD" w:rsidR="008E2E0A" w:rsidRPr="00EE32B6" w:rsidRDefault="008E2E0A" w:rsidP="001747F5">
      <w:r w:rsidRPr="00EE32B6">
        <w:t>De primære rett</w:t>
      </w:r>
      <w:r w:rsidR="00C64B20" w:rsidRPr="00EE32B6">
        <w:t>s</w:t>
      </w:r>
      <w:r w:rsidRPr="00EE32B6">
        <w:t>aktene som regul</w:t>
      </w:r>
      <w:r w:rsidR="00C64B20" w:rsidRPr="00EE32B6">
        <w:t>e</w:t>
      </w:r>
      <w:r w:rsidRPr="00EE32B6">
        <w:t xml:space="preserve">rer myndighetenes inngripen i </w:t>
      </w:r>
      <w:r w:rsidR="00B25C2D" w:rsidRPr="00EE32B6">
        <w:t>personopplysninger</w:t>
      </w:r>
      <w:r w:rsidR="00AF4BB0">
        <w:t xml:space="preserve"> på Taiwan</w:t>
      </w:r>
      <w:r w:rsidR="00B25C2D" w:rsidRPr="00EE32B6">
        <w:t>,</w:t>
      </w:r>
      <w:r w:rsidRPr="00EE32B6">
        <w:t xml:space="preserve"> er:</w:t>
      </w:r>
    </w:p>
    <w:p w14:paraId="0C62EE19" w14:textId="0964C5D1" w:rsidR="00F57C3D" w:rsidRPr="000A29E6" w:rsidRDefault="00F57C3D" w:rsidP="00D2621B">
      <w:pPr>
        <w:pStyle w:val="Listeavsnitt"/>
        <w:numPr>
          <w:ilvl w:val="0"/>
          <w:numId w:val="22"/>
        </w:numPr>
        <w:rPr>
          <w:lang w:val="en-GB"/>
        </w:rPr>
      </w:pPr>
      <w:r w:rsidRPr="000A29E6">
        <w:rPr>
          <w:b/>
          <w:bCs/>
          <w:lang w:val="en-GB"/>
        </w:rPr>
        <w:t>Personal Data Protection Act (PDPA)</w:t>
      </w:r>
      <w:r w:rsidR="00BE65CE" w:rsidRPr="000A29E6">
        <w:rPr>
          <w:lang w:val="en-GB"/>
        </w:rPr>
        <w:t xml:space="preserve">, se </w:t>
      </w:r>
      <w:proofErr w:type="spellStart"/>
      <w:r w:rsidR="00BE65CE" w:rsidRPr="000A29E6">
        <w:rPr>
          <w:lang w:val="en-GB"/>
        </w:rPr>
        <w:t>punkt</w:t>
      </w:r>
      <w:proofErr w:type="spellEnd"/>
      <w:r w:rsidR="00BE65CE" w:rsidRPr="000A29E6">
        <w:rPr>
          <w:lang w:val="en-GB"/>
        </w:rPr>
        <w:t xml:space="preserve"> </w:t>
      </w:r>
      <w:r w:rsidR="00295891" w:rsidRPr="00EE32B6">
        <w:fldChar w:fldCharType="begin"/>
      </w:r>
      <w:r w:rsidR="00295891" w:rsidRPr="000A29E6">
        <w:rPr>
          <w:lang w:val="en-GB"/>
        </w:rPr>
        <w:instrText xml:space="preserve"> REF _Ref161748076 \r \h </w:instrText>
      </w:r>
      <w:r w:rsidR="00295891" w:rsidRPr="00EE32B6">
        <w:fldChar w:fldCharType="separate"/>
      </w:r>
      <w:r w:rsidR="00295891" w:rsidRPr="000A29E6">
        <w:rPr>
          <w:lang w:val="en-GB"/>
        </w:rPr>
        <w:t>3.1</w:t>
      </w:r>
      <w:r w:rsidR="00295891" w:rsidRPr="00EE32B6">
        <w:fldChar w:fldCharType="end"/>
      </w:r>
      <w:r w:rsidR="00295891" w:rsidRPr="000A29E6">
        <w:rPr>
          <w:lang w:val="en-GB"/>
        </w:rPr>
        <w:t>.</w:t>
      </w:r>
      <w:r w:rsidRPr="000A29E6">
        <w:rPr>
          <w:lang w:val="en-GB"/>
        </w:rPr>
        <w:t xml:space="preserve"> </w:t>
      </w:r>
    </w:p>
    <w:p w14:paraId="52BC72A9" w14:textId="3BD970B1" w:rsidR="00CB5944" w:rsidRPr="0061250B" w:rsidRDefault="00CB5944" w:rsidP="00D2621B">
      <w:pPr>
        <w:pStyle w:val="Listeavsnitt"/>
        <w:numPr>
          <w:ilvl w:val="0"/>
          <w:numId w:val="22"/>
        </w:numPr>
        <w:rPr>
          <w:lang w:val="en-GB"/>
        </w:rPr>
      </w:pPr>
      <w:r w:rsidRPr="000A29E6">
        <w:rPr>
          <w:b/>
          <w:bCs/>
          <w:lang w:val="en-GB"/>
        </w:rPr>
        <w:t>Communication Security and Surveillance Act</w:t>
      </w:r>
      <w:r w:rsidRPr="000A29E6">
        <w:rPr>
          <w:lang w:val="en-GB"/>
        </w:rPr>
        <w:t xml:space="preserve"> </w:t>
      </w:r>
      <w:r w:rsidRPr="000A29E6">
        <w:rPr>
          <w:b/>
          <w:bCs/>
          <w:lang w:val="en-GB"/>
        </w:rPr>
        <w:t>(CSSA)</w:t>
      </w:r>
      <w:r w:rsidRPr="000A29E6">
        <w:rPr>
          <w:lang w:val="en-GB"/>
        </w:rPr>
        <w:t xml:space="preserve">, se </w:t>
      </w:r>
      <w:proofErr w:type="spellStart"/>
      <w:r w:rsidRPr="000A29E6">
        <w:rPr>
          <w:lang w:val="en-GB"/>
        </w:rPr>
        <w:t>punkt</w:t>
      </w:r>
      <w:proofErr w:type="spellEnd"/>
      <w:r w:rsidRPr="000A29E6">
        <w:rPr>
          <w:lang w:val="en-GB"/>
        </w:rPr>
        <w:t xml:space="preserve"> </w:t>
      </w:r>
      <w:r w:rsidRPr="00EE32B6">
        <w:fldChar w:fldCharType="begin"/>
      </w:r>
      <w:r w:rsidRPr="000A29E6">
        <w:rPr>
          <w:lang w:val="en-GB"/>
        </w:rPr>
        <w:instrText xml:space="preserve"> REF _Ref161748119 \r \h </w:instrText>
      </w:r>
      <w:r w:rsidRPr="00EE32B6">
        <w:fldChar w:fldCharType="separate"/>
      </w:r>
      <w:r w:rsidRPr="0061250B">
        <w:rPr>
          <w:lang w:val="en-GB"/>
        </w:rPr>
        <w:t>3.2</w:t>
      </w:r>
      <w:r w:rsidRPr="00EE32B6">
        <w:fldChar w:fldCharType="end"/>
      </w:r>
      <w:r w:rsidRPr="0061250B">
        <w:rPr>
          <w:lang w:val="en-GB"/>
        </w:rPr>
        <w:t>.</w:t>
      </w:r>
    </w:p>
    <w:p w14:paraId="6793D714" w14:textId="34595BCF" w:rsidR="00755BA1" w:rsidRPr="0061250B" w:rsidRDefault="0017245E" w:rsidP="00D2621B">
      <w:pPr>
        <w:pStyle w:val="Listeavsnitt"/>
        <w:numPr>
          <w:ilvl w:val="0"/>
          <w:numId w:val="22"/>
        </w:numPr>
        <w:rPr>
          <w:lang w:val="en-GB"/>
        </w:rPr>
      </w:pPr>
      <w:r w:rsidRPr="0061250B">
        <w:rPr>
          <w:b/>
          <w:bCs/>
          <w:lang w:val="en-GB"/>
        </w:rPr>
        <w:t>Telecommunications Act (TA)</w:t>
      </w:r>
      <w:r w:rsidR="00755BA1" w:rsidRPr="0061250B">
        <w:rPr>
          <w:b/>
          <w:bCs/>
          <w:lang w:val="en-GB"/>
        </w:rPr>
        <w:t xml:space="preserve"> og Telecommunications Management Act (TMA)</w:t>
      </w:r>
      <w:r w:rsidRPr="0061250B">
        <w:rPr>
          <w:lang w:val="en-GB"/>
        </w:rPr>
        <w:t xml:space="preserve">, se </w:t>
      </w:r>
      <w:proofErr w:type="spellStart"/>
      <w:r w:rsidR="00755BA1" w:rsidRPr="0061250B">
        <w:rPr>
          <w:lang w:val="en-GB"/>
        </w:rPr>
        <w:t>punkt</w:t>
      </w:r>
      <w:proofErr w:type="spellEnd"/>
      <w:r w:rsidR="00755BA1" w:rsidRPr="0061250B">
        <w:rPr>
          <w:lang w:val="en-GB"/>
        </w:rPr>
        <w:t xml:space="preserve"> </w:t>
      </w:r>
      <w:r w:rsidR="00755BA1" w:rsidRPr="00EE32B6">
        <w:fldChar w:fldCharType="begin"/>
      </w:r>
      <w:r w:rsidR="00755BA1" w:rsidRPr="0061250B">
        <w:rPr>
          <w:lang w:val="en-GB"/>
        </w:rPr>
        <w:instrText xml:space="preserve"> REF _Ref161748168 \r \h </w:instrText>
      </w:r>
      <w:r w:rsidR="00755BA1" w:rsidRPr="00EE32B6">
        <w:fldChar w:fldCharType="separate"/>
      </w:r>
      <w:r w:rsidR="00755BA1" w:rsidRPr="0061250B">
        <w:rPr>
          <w:lang w:val="en-GB"/>
        </w:rPr>
        <w:t>3.3</w:t>
      </w:r>
      <w:r w:rsidR="00755BA1" w:rsidRPr="00EE32B6">
        <w:fldChar w:fldCharType="end"/>
      </w:r>
      <w:r w:rsidRPr="0061250B">
        <w:rPr>
          <w:lang w:val="en-GB"/>
        </w:rPr>
        <w:t>.</w:t>
      </w:r>
    </w:p>
    <w:p w14:paraId="327AC487" w14:textId="3EE4D577" w:rsidR="00D54042" w:rsidRPr="00EE32B6" w:rsidRDefault="00D54042" w:rsidP="00D2621B">
      <w:pPr>
        <w:pStyle w:val="Listeavsnitt"/>
        <w:numPr>
          <w:ilvl w:val="0"/>
          <w:numId w:val="22"/>
        </w:numPr>
      </w:pPr>
      <w:r w:rsidRPr="00EE32B6">
        <w:rPr>
          <w:b/>
          <w:bCs/>
        </w:rPr>
        <w:t>Grunnlov</w:t>
      </w:r>
      <w:r w:rsidR="006C3BB0" w:rsidRPr="00EE32B6">
        <w:rPr>
          <w:b/>
          <w:bCs/>
        </w:rPr>
        <w:t xml:space="preserve"> eller andre tilknyttede traktater og konvensjoner</w:t>
      </w:r>
    </w:p>
    <w:p w14:paraId="7F81D6AA" w14:textId="376F049A" w:rsidR="00F57C3D" w:rsidRPr="00EE32B6" w:rsidRDefault="008E2E0A" w:rsidP="00F57C3D">
      <w:r w:rsidRPr="00EE32B6">
        <w:t>I tillegg kommer</w:t>
      </w:r>
      <w:r w:rsidR="00CF57F5" w:rsidRPr="00EE32B6">
        <w:t xml:space="preserve"> </w:t>
      </w:r>
      <w:r w:rsidR="00F57C3D" w:rsidRPr="00EE32B6">
        <w:rPr>
          <w:b/>
        </w:rPr>
        <w:t xml:space="preserve">Code </w:t>
      </w:r>
      <w:proofErr w:type="spellStart"/>
      <w:r w:rsidR="00F57C3D" w:rsidRPr="00EE32B6">
        <w:rPr>
          <w:b/>
        </w:rPr>
        <w:t>of</w:t>
      </w:r>
      <w:proofErr w:type="spellEnd"/>
      <w:r w:rsidR="00F57C3D" w:rsidRPr="00EE32B6">
        <w:rPr>
          <w:b/>
        </w:rPr>
        <w:t xml:space="preserve"> </w:t>
      </w:r>
      <w:proofErr w:type="spellStart"/>
      <w:r w:rsidR="00F57C3D" w:rsidRPr="00EE32B6">
        <w:rPr>
          <w:b/>
        </w:rPr>
        <w:t>Criminal</w:t>
      </w:r>
      <w:proofErr w:type="spellEnd"/>
      <w:r w:rsidR="00F57C3D" w:rsidRPr="00EE32B6">
        <w:rPr>
          <w:b/>
        </w:rPr>
        <w:t xml:space="preserve"> </w:t>
      </w:r>
      <w:proofErr w:type="spellStart"/>
      <w:r w:rsidR="00F57C3D" w:rsidRPr="00EE32B6">
        <w:rPr>
          <w:b/>
        </w:rPr>
        <w:t>Procedure</w:t>
      </w:r>
      <w:proofErr w:type="spellEnd"/>
      <w:r w:rsidR="00F57C3D" w:rsidRPr="00EE32B6">
        <w:rPr>
          <w:b/>
        </w:rPr>
        <w:t xml:space="preserve"> (CCP)</w:t>
      </w:r>
      <w:r w:rsidR="00CF57F5" w:rsidRPr="00EE32B6">
        <w:rPr>
          <w:b/>
        </w:rPr>
        <w:t xml:space="preserve"> </w:t>
      </w:r>
      <w:r w:rsidR="00CF57F5" w:rsidRPr="00EE32B6">
        <w:t xml:space="preserve">og </w:t>
      </w:r>
      <w:r w:rsidR="00F57C3D" w:rsidRPr="00EE32B6">
        <w:rPr>
          <w:b/>
        </w:rPr>
        <w:t xml:space="preserve">Police Power </w:t>
      </w:r>
      <w:proofErr w:type="spellStart"/>
      <w:r w:rsidR="00F57C3D" w:rsidRPr="00EE32B6">
        <w:rPr>
          <w:b/>
        </w:rPr>
        <w:t>Execise</w:t>
      </w:r>
      <w:proofErr w:type="spellEnd"/>
      <w:r w:rsidR="00F57C3D" w:rsidRPr="00EE32B6">
        <w:rPr>
          <w:b/>
        </w:rPr>
        <w:t xml:space="preserve"> </w:t>
      </w:r>
      <w:proofErr w:type="spellStart"/>
      <w:r w:rsidR="00F57C3D" w:rsidRPr="00EE32B6">
        <w:rPr>
          <w:b/>
        </w:rPr>
        <w:t>Act</w:t>
      </w:r>
      <w:proofErr w:type="spellEnd"/>
      <w:r w:rsidR="00F57C3D" w:rsidRPr="00EE32B6">
        <w:t xml:space="preserve"> </w:t>
      </w:r>
      <w:r w:rsidR="00F57C3D" w:rsidRPr="00EE32B6">
        <w:rPr>
          <w:b/>
        </w:rPr>
        <w:t>(PPEA)</w:t>
      </w:r>
      <w:r w:rsidR="00CF57F5" w:rsidRPr="00EE32B6">
        <w:t xml:space="preserve">, men disse er ikke vurdert i detalj </w:t>
      </w:r>
      <w:r w:rsidR="00C64B20" w:rsidRPr="00EE32B6">
        <w:t>nedenfor</w:t>
      </w:r>
      <w:r w:rsidR="00F57C3D" w:rsidRPr="00EE32B6">
        <w:t>.</w:t>
      </w:r>
    </w:p>
    <w:p w14:paraId="4D2471E2" w14:textId="234C7DDD" w:rsidR="00792BD3" w:rsidRPr="00EE32B6" w:rsidRDefault="00082C08" w:rsidP="00241913">
      <w:pPr>
        <w:pStyle w:val="Overskrift3"/>
      </w:pPr>
      <w:bookmarkStart w:id="4" w:name="_Toc175831462"/>
      <w:r>
        <w:t>Øvrige</w:t>
      </w:r>
      <w:r w:rsidR="00EC58C5" w:rsidRPr="00EE32B6">
        <w:t xml:space="preserve"> </w:t>
      </w:r>
      <w:r w:rsidR="00F57C3D" w:rsidRPr="00EE32B6">
        <w:t>kilder</w:t>
      </w:r>
      <w:bookmarkEnd w:id="4"/>
    </w:p>
    <w:p w14:paraId="1BF278B6" w14:textId="59C1F01B" w:rsidR="00482193" w:rsidRDefault="00F57C3D" w:rsidP="00F57C3D">
      <w:proofErr w:type="spellStart"/>
      <w:r w:rsidRPr="00EE32B6">
        <w:rPr>
          <w:b/>
          <w:bCs/>
        </w:rPr>
        <w:t>Dataguidance</w:t>
      </w:r>
      <w:proofErr w:type="spellEnd"/>
      <w:r w:rsidRPr="00EE32B6">
        <w:rPr>
          <w:b/>
          <w:bCs/>
        </w:rPr>
        <w:t>/</w:t>
      </w:r>
      <w:proofErr w:type="spellStart"/>
      <w:r w:rsidRPr="00EE32B6">
        <w:rPr>
          <w:b/>
          <w:bCs/>
        </w:rPr>
        <w:t>Datagovernance</w:t>
      </w:r>
      <w:proofErr w:type="spellEnd"/>
      <w:r w:rsidRPr="00EE32B6">
        <w:rPr>
          <w:b/>
          <w:bCs/>
        </w:rPr>
        <w:t xml:space="preserve"> </w:t>
      </w:r>
      <w:r w:rsidRPr="00EE32B6">
        <w:t xml:space="preserve">– </w:t>
      </w:r>
      <w:proofErr w:type="spellStart"/>
      <w:r w:rsidR="008717DE" w:rsidRPr="00EE32B6">
        <w:t>DataGuidance</w:t>
      </w:r>
      <w:proofErr w:type="spellEnd"/>
      <w:r w:rsidR="008717DE" w:rsidRPr="00EE32B6">
        <w:t xml:space="preserve"> er en sentralisert</w:t>
      </w:r>
      <w:r w:rsidR="00AF4BB0">
        <w:t>,</w:t>
      </w:r>
      <w:r w:rsidR="008717DE" w:rsidRPr="00EE32B6">
        <w:t xml:space="preserve"> regulatorisk forskningsplattform bygget av et nettverk av interne forskere, juridiske eksperter og oversettere.</w:t>
      </w:r>
      <w:r w:rsidR="00DE58DA">
        <w:rPr>
          <w:rStyle w:val="Fotnotereferanse"/>
        </w:rPr>
        <w:footnoteReference w:id="2"/>
      </w:r>
    </w:p>
    <w:p w14:paraId="0F62077D" w14:textId="4C590A14" w:rsidR="00943C4B" w:rsidRPr="006A1744" w:rsidRDefault="006A1744" w:rsidP="00F57C3D">
      <w:r>
        <w:rPr>
          <w:b/>
          <w:bCs/>
        </w:rPr>
        <w:t xml:space="preserve">«Taiwan </w:t>
      </w:r>
      <w:proofErr w:type="spellStart"/>
      <w:r>
        <w:rPr>
          <w:b/>
          <w:bCs/>
        </w:rPr>
        <w:t>Internet</w:t>
      </w:r>
      <w:proofErr w:type="spellEnd"/>
      <w:r>
        <w:rPr>
          <w:b/>
          <w:bCs/>
        </w:rPr>
        <w:t xml:space="preserve"> </w:t>
      </w:r>
      <w:proofErr w:type="spellStart"/>
      <w:r>
        <w:rPr>
          <w:b/>
          <w:bCs/>
        </w:rPr>
        <w:t>Transparency</w:t>
      </w:r>
      <w:proofErr w:type="spellEnd"/>
      <w:r>
        <w:rPr>
          <w:b/>
          <w:bCs/>
        </w:rPr>
        <w:t xml:space="preserve"> Report» - </w:t>
      </w:r>
      <w:r>
        <w:t xml:space="preserve">Forskningsrapport publisert </w:t>
      </w:r>
      <w:r w:rsidR="006E1913">
        <w:t>av Taiwan Association for Human Rights</w:t>
      </w:r>
      <w:r w:rsidR="00DE58DA">
        <w:t>.</w:t>
      </w:r>
      <w:r w:rsidR="00DE58DA">
        <w:rPr>
          <w:rStyle w:val="Fotnotereferanse"/>
        </w:rPr>
        <w:footnoteReference w:id="3"/>
      </w:r>
    </w:p>
    <w:p w14:paraId="638E2DEA" w14:textId="30B50F43" w:rsidR="00F57C3D" w:rsidRDefault="00482193" w:rsidP="00F57C3D">
      <w:r w:rsidRPr="00EE32B6">
        <w:rPr>
          <w:b/>
          <w:bCs/>
        </w:rPr>
        <w:t xml:space="preserve">Annet – </w:t>
      </w:r>
      <w:r w:rsidR="00C248A5" w:rsidRPr="00EE32B6">
        <w:t>Øvrig</w:t>
      </w:r>
      <w:r w:rsidR="00CE5AAD" w:rsidRPr="00EE32B6">
        <w:t xml:space="preserve"> faglitteratur, fagartikler og andre relevante </w:t>
      </w:r>
      <w:r w:rsidR="00792BD3" w:rsidRPr="00EE32B6">
        <w:t>kilder</w:t>
      </w:r>
      <w:r w:rsidR="00CE5AAD" w:rsidRPr="00EE32B6">
        <w:t xml:space="preserve"> (se noter)</w:t>
      </w:r>
    </w:p>
    <w:p w14:paraId="795D67EB" w14:textId="77777777" w:rsidR="0075161D" w:rsidRPr="00EE32B6" w:rsidRDefault="0075161D" w:rsidP="00F57C3D"/>
    <w:p w14:paraId="33ECB13F" w14:textId="01CD9C70" w:rsidR="00792BD3" w:rsidRPr="00EE32B6" w:rsidRDefault="00F57C3D" w:rsidP="00241913">
      <w:pPr>
        <w:pStyle w:val="Overskrift3"/>
      </w:pPr>
      <w:bookmarkStart w:id="5" w:name="_Toc175831463"/>
      <w:r w:rsidRPr="00EE32B6">
        <w:lastRenderedPageBreak/>
        <w:t>Avgrensninger og forbehold</w:t>
      </w:r>
      <w:bookmarkEnd w:id="5"/>
    </w:p>
    <w:p w14:paraId="510AA497" w14:textId="185200EB" w:rsidR="00075312" w:rsidRPr="00EE32B6" w:rsidRDefault="00AF4BB0" w:rsidP="00F57C3D">
      <w:r>
        <w:t>Denne landvurderingen dekker kun</w:t>
      </w:r>
      <w:r w:rsidR="00F57C3D" w:rsidRPr="00EE32B6">
        <w:t xml:space="preserve"> regelverk og </w:t>
      </w:r>
      <w:r>
        <w:t>praksis som var offentlig eller</w:t>
      </w:r>
      <w:r w:rsidR="00F57C3D" w:rsidRPr="00EE32B6">
        <w:t xml:space="preserve"> kjent for prosjektet</w:t>
      </w:r>
      <w:r>
        <w:t xml:space="preserve"> og relevant for vurderingene.</w:t>
      </w:r>
      <w:r w:rsidR="00F57C3D" w:rsidRPr="00EE32B6">
        <w:t xml:space="preserve">  </w:t>
      </w:r>
    </w:p>
    <w:p w14:paraId="7DFB7779" w14:textId="480F14E8" w:rsidR="006E6622" w:rsidRDefault="00AF4BB0" w:rsidP="00F57C3D">
      <w:r>
        <w:t xml:space="preserve">Vi gjør også oppmerksom på at rettskilder og praksis kan være </w:t>
      </w:r>
      <w:r w:rsidR="004030BD" w:rsidRPr="00EE32B6">
        <w:t>u</w:t>
      </w:r>
      <w:r w:rsidR="00F57C3D" w:rsidRPr="00EE32B6">
        <w:t>tdatert</w:t>
      </w:r>
      <w:r>
        <w:t xml:space="preserve">, endret eller </w:t>
      </w:r>
      <w:r w:rsidR="00F57C3D" w:rsidRPr="00EE32B6">
        <w:t>fase</w:t>
      </w:r>
      <w:r>
        <w:t>t</w:t>
      </w:r>
      <w:r w:rsidR="00F57C3D" w:rsidRPr="00EE32B6">
        <w:t xml:space="preserve"> siden </w:t>
      </w:r>
      <w:r w:rsidR="00F637F2">
        <w:t>landvurderingen</w:t>
      </w:r>
      <w:r w:rsidR="00F57C3D" w:rsidRPr="00EE32B6">
        <w:t xml:space="preserve"> tilgjengeliggjøre</w:t>
      </w:r>
      <w:r w:rsidR="005B7CA0" w:rsidRPr="00EE32B6">
        <w:t>s.</w:t>
      </w:r>
      <w:r w:rsidR="000868CE" w:rsidRPr="00EE32B6">
        <w:t xml:space="preserve"> </w:t>
      </w:r>
    </w:p>
    <w:p w14:paraId="721A8368" w14:textId="3CAF3C9A" w:rsidR="00F57C3D" w:rsidRPr="00EE32B6" w:rsidRDefault="009D285C" w:rsidP="00F57C3D">
      <w:r>
        <w:t>Ko</w:t>
      </w:r>
      <w:r w:rsidR="00927705">
        <w:t xml:space="preserve">nklusjonene i denne </w:t>
      </w:r>
      <w:r w:rsidR="007D653C">
        <w:t>landvurderingen</w:t>
      </w:r>
      <w:r w:rsidR="00927705">
        <w:t xml:space="preserve"> baserer seg på</w:t>
      </w:r>
      <w:r w:rsidR="00F57C3D" w:rsidRPr="00EE32B6">
        <w:t xml:space="preserve"> prosjektets tolkning og vurdering</w:t>
      </w:r>
      <w:r w:rsidR="004779AF">
        <w:t xml:space="preserve">er av Taiwansk </w:t>
      </w:r>
      <w:r w:rsidR="007D653C">
        <w:t xml:space="preserve">rett og praksis. </w:t>
      </w:r>
      <w:r w:rsidR="00F57C3D" w:rsidRPr="00EE32B6">
        <w:t xml:space="preserve"> </w:t>
      </w:r>
    </w:p>
    <w:p w14:paraId="3F9F35A0" w14:textId="77777777" w:rsidR="00892684" w:rsidRPr="00EE32B6" w:rsidRDefault="00892684" w:rsidP="00F57C3D"/>
    <w:p w14:paraId="7A7C3C24" w14:textId="420246E7" w:rsidR="004939EC" w:rsidRPr="00EE32B6" w:rsidRDefault="002C4415" w:rsidP="002C4415">
      <w:pPr>
        <w:pStyle w:val="Overskrift2"/>
        <w:numPr>
          <w:ilvl w:val="0"/>
          <w:numId w:val="6"/>
        </w:numPr>
      </w:pPr>
      <w:bookmarkStart w:id="6" w:name="_Toc161830920"/>
      <w:bookmarkStart w:id="7" w:name="_Toc161830969"/>
      <w:bookmarkStart w:id="8" w:name="_Toc161830921"/>
      <w:bookmarkStart w:id="9" w:name="_Toc161830970"/>
      <w:bookmarkStart w:id="10" w:name="_Toc161830922"/>
      <w:bookmarkStart w:id="11" w:name="_Toc161830971"/>
      <w:bookmarkStart w:id="12" w:name="_Toc161830923"/>
      <w:bookmarkStart w:id="13" w:name="_Toc161830972"/>
      <w:bookmarkStart w:id="14" w:name="_Toc161830924"/>
      <w:bookmarkStart w:id="15" w:name="_Toc161830973"/>
      <w:bookmarkStart w:id="16" w:name="_Toc161830925"/>
      <w:bookmarkStart w:id="17" w:name="_Toc161830974"/>
      <w:bookmarkStart w:id="18" w:name="_Toc161830926"/>
      <w:bookmarkStart w:id="19" w:name="_Toc161830975"/>
      <w:bookmarkStart w:id="20" w:name="_Toc175831464"/>
      <w:bookmarkEnd w:id="6"/>
      <w:bookmarkEnd w:id="7"/>
      <w:bookmarkEnd w:id="8"/>
      <w:bookmarkEnd w:id="9"/>
      <w:bookmarkEnd w:id="10"/>
      <w:bookmarkEnd w:id="11"/>
      <w:bookmarkEnd w:id="12"/>
      <w:bookmarkEnd w:id="13"/>
      <w:bookmarkEnd w:id="14"/>
      <w:bookmarkEnd w:id="15"/>
      <w:bookmarkEnd w:id="16"/>
      <w:bookmarkEnd w:id="17"/>
      <w:bookmarkEnd w:id="18"/>
      <w:bookmarkEnd w:id="19"/>
      <w:r w:rsidRPr="00EE32B6">
        <w:rPr>
          <w:b w:val="0"/>
          <w:bCs/>
        </w:rPr>
        <w:t>Oppsummering og konklusjo</w:t>
      </w:r>
      <w:r w:rsidR="003B4414">
        <w:rPr>
          <w:b w:val="0"/>
          <w:bCs/>
        </w:rPr>
        <w:t>n</w:t>
      </w:r>
      <w:bookmarkEnd w:id="20"/>
    </w:p>
    <w:p w14:paraId="06867C67" w14:textId="3795152C" w:rsidR="005B4049" w:rsidRPr="0034568E" w:rsidRDefault="007407DA" w:rsidP="005B4049">
      <w:pPr>
        <w:pStyle w:val="NormalWeb"/>
        <w:spacing w:line="300" w:lineRule="atLeast"/>
        <w:rPr>
          <w:rFonts w:asciiTheme="minorHAnsi" w:hAnsiTheme="minorHAnsi" w:cstheme="minorHAnsi"/>
          <w:color w:val="242424"/>
          <w:sz w:val="22"/>
          <w:szCs w:val="22"/>
        </w:rPr>
      </w:pPr>
      <w:r>
        <w:rPr>
          <w:rFonts w:asciiTheme="minorHAnsi" w:hAnsiTheme="minorHAnsi" w:cstheme="minorHAnsi"/>
          <w:color w:val="242424"/>
          <w:sz w:val="22"/>
          <w:szCs w:val="22"/>
        </w:rPr>
        <w:t>Landvurderingen</w:t>
      </w:r>
      <w:r w:rsidR="005B4049" w:rsidRPr="0034568E">
        <w:rPr>
          <w:rFonts w:asciiTheme="minorHAnsi" w:hAnsiTheme="minorHAnsi" w:cstheme="minorHAnsi"/>
          <w:color w:val="242424"/>
          <w:sz w:val="22"/>
          <w:szCs w:val="22"/>
        </w:rPr>
        <w:t xml:space="preserve"> gir en vurdering av Taiwans lovgivning og praksis knyttet til personvern og overvåkning, spesielt i </w:t>
      </w:r>
      <w:r w:rsidR="00472E3C" w:rsidRPr="0034568E">
        <w:rPr>
          <w:rFonts w:asciiTheme="minorHAnsi" w:hAnsiTheme="minorHAnsi" w:cstheme="minorHAnsi"/>
          <w:color w:val="242424"/>
          <w:sz w:val="22"/>
          <w:szCs w:val="22"/>
        </w:rPr>
        <w:t>lys av norske skolers</w:t>
      </w:r>
      <w:r w:rsidR="005B4049" w:rsidRPr="0034568E">
        <w:rPr>
          <w:rFonts w:asciiTheme="minorHAnsi" w:hAnsiTheme="minorHAnsi" w:cstheme="minorHAnsi"/>
          <w:color w:val="242424"/>
          <w:sz w:val="22"/>
          <w:szCs w:val="22"/>
        </w:rPr>
        <w:t xml:space="preserve"> bruk av Google Workspace for </w:t>
      </w:r>
      <w:proofErr w:type="spellStart"/>
      <w:r w:rsidR="005B4049" w:rsidRPr="0034568E">
        <w:rPr>
          <w:rFonts w:asciiTheme="minorHAnsi" w:hAnsiTheme="minorHAnsi" w:cstheme="minorHAnsi"/>
          <w:color w:val="242424"/>
          <w:sz w:val="22"/>
          <w:szCs w:val="22"/>
        </w:rPr>
        <w:t>Education</w:t>
      </w:r>
      <w:proofErr w:type="spellEnd"/>
      <w:r w:rsidR="005B4049" w:rsidRPr="0034568E">
        <w:rPr>
          <w:rFonts w:asciiTheme="minorHAnsi" w:hAnsiTheme="minorHAnsi" w:cstheme="minorHAnsi"/>
          <w:color w:val="242424"/>
          <w:sz w:val="22"/>
          <w:szCs w:val="22"/>
        </w:rPr>
        <w:t xml:space="preserve"> (GWE). Hovedfunnene indikerer at selv om Taiwan har gjort flere endringer i sin lovgivning for å styrke personvernet, er det fortsatt utfordringer knyttet til overvåkning og beskyttelse av personopplysninger.</w:t>
      </w:r>
    </w:p>
    <w:p w14:paraId="705F260D" w14:textId="77777777" w:rsidR="005B4049" w:rsidRPr="0034568E" w:rsidRDefault="005B4049" w:rsidP="005B4049">
      <w:pPr>
        <w:pStyle w:val="NormalWeb"/>
        <w:spacing w:line="300" w:lineRule="atLeast"/>
        <w:rPr>
          <w:rFonts w:asciiTheme="minorHAnsi" w:hAnsiTheme="minorHAnsi" w:cstheme="minorHAnsi"/>
          <w:color w:val="242424"/>
          <w:sz w:val="22"/>
          <w:szCs w:val="22"/>
        </w:rPr>
      </w:pPr>
      <w:r w:rsidRPr="0034568E">
        <w:rPr>
          <w:rFonts w:asciiTheme="minorHAnsi" w:hAnsiTheme="minorHAnsi" w:cstheme="minorHAnsi"/>
          <w:color w:val="242424"/>
          <w:sz w:val="22"/>
          <w:szCs w:val="22"/>
        </w:rPr>
        <w:t xml:space="preserve">Det er identifisert at Communications and </w:t>
      </w:r>
      <w:proofErr w:type="spellStart"/>
      <w:r w:rsidRPr="0034568E">
        <w:rPr>
          <w:rFonts w:asciiTheme="minorHAnsi" w:hAnsiTheme="minorHAnsi" w:cstheme="minorHAnsi"/>
          <w:color w:val="242424"/>
          <w:sz w:val="22"/>
          <w:szCs w:val="22"/>
        </w:rPr>
        <w:t>Surveillance</w:t>
      </w:r>
      <w:proofErr w:type="spellEnd"/>
      <w:r w:rsidRPr="0034568E">
        <w:rPr>
          <w:rFonts w:asciiTheme="minorHAnsi" w:hAnsiTheme="minorHAnsi" w:cstheme="minorHAnsi"/>
          <w:color w:val="242424"/>
          <w:sz w:val="22"/>
          <w:szCs w:val="22"/>
        </w:rPr>
        <w:t xml:space="preserve"> </w:t>
      </w:r>
      <w:proofErr w:type="spellStart"/>
      <w:r w:rsidRPr="0034568E">
        <w:rPr>
          <w:rFonts w:asciiTheme="minorHAnsi" w:hAnsiTheme="minorHAnsi" w:cstheme="minorHAnsi"/>
          <w:color w:val="242424"/>
          <w:sz w:val="22"/>
          <w:szCs w:val="22"/>
        </w:rPr>
        <w:t>Act</w:t>
      </w:r>
      <w:proofErr w:type="spellEnd"/>
      <w:r w:rsidRPr="0034568E">
        <w:rPr>
          <w:rFonts w:asciiTheme="minorHAnsi" w:hAnsiTheme="minorHAnsi" w:cstheme="minorHAnsi"/>
          <w:color w:val="242424"/>
          <w:sz w:val="22"/>
          <w:szCs w:val="22"/>
        </w:rPr>
        <w:t xml:space="preserve"> (CSSA) ikke fullt ut oppfyller de grunnleggende europeiske garantiene, spesielt når det gjelder uavhengig tilsyn og effektive rettsmidler. Dette kan påvirke beskyttelsesnivået for personopplysninger overført til Taiwan.</w:t>
      </w:r>
    </w:p>
    <w:p w14:paraId="0D43A821" w14:textId="552E2ABE" w:rsidR="005B4049" w:rsidRPr="0034568E" w:rsidRDefault="007407DA" w:rsidP="005B4049">
      <w:pPr>
        <w:pStyle w:val="NormalWeb"/>
        <w:spacing w:line="300" w:lineRule="atLeast"/>
        <w:rPr>
          <w:rFonts w:asciiTheme="minorHAnsi" w:hAnsiTheme="minorHAnsi" w:cstheme="minorHAnsi"/>
          <w:color w:val="242424"/>
          <w:sz w:val="22"/>
          <w:szCs w:val="22"/>
        </w:rPr>
      </w:pPr>
      <w:r>
        <w:rPr>
          <w:rFonts w:asciiTheme="minorHAnsi" w:hAnsiTheme="minorHAnsi" w:cstheme="minorHAnsi"/>
          <w:color w:val="242424"/>
          <w:sz w:val="22"/>
          <w:szCs w:val="22"/>
        </w:rPr>
        <w:t>Prosjektet</w:t>
      </w:r>
      <w:r w:rsidR="005B4049" w:rsidRPr="0034568E">
        <w:rPr>
          <w:rFonts w:asciiTheme="minorHAnsi" w:hAnsiTheme="minorHAnsi" w:cstheme="minorHAnsi"/>
          <w:color w:val="242424"/>
          <w:sz w:val="22"/>
          <w:szCs w:val="22"/>
        </w:rPr>
        <w:t xml:space="preserve"> anbefaler at kommuner som bruker GWE må vurdere risikoen ved overføringer til Taiwan og implementere nødvendige sikkerhetstiltak. Dette kan inkludere inngåelse av Standard Contractual Clauses (SCC) og gjennomføring av en Transfer </w:t>
      </w:r>
      <w:proofErr w:type="spellStart"/>
      <w:r w:rsidR="005B4049" w:rsidRPr="0034568E">
        <w:rPr>
          <w:rFonts w:asciiTheme="minorHAnsi" w:hAnsiTheme="minorHAnsi" w:cstheme="minorHAnsi"/>
          <w:color w:val="242424"/>
          <w:sz w:val="22"/>
          <w:szCs w:val="22"/>
        </w:rPr>
        <w:t>Impact</w:t>
      </w:r>
      <w:proofErr w:type="spellEnd"/>
      <w:r w:rsidR="005B4049" w:rsidRPr="0034568E">
        <w:rPr>
          <w:rFonts w:asciiTheme="minorHAnsi" w:hAnsiTheme="minorHAnsi" w:cstheme="minorHAnsi"/>
          <w:color w:val="242424"/>
          <w:sz w:val="22"/>
          <w:szCs w:val="22"/>
        </w:rPr>
        <w:t xml:space="preserve"> </w:t>
      </w:r>
      <w:proofErr w:type="spellStart"/>
      <w:r w:rsidR="005B4049" w:rsidRPr="0034568E">
        <w:rPr>
          <w:rFonts w:asciiTheme="minorHAnsi" w:hAnsiTheme="minorHAnsi" w:cstheme="minorHAnsi"/>
          <w:color w:val="242424"/>
          <w:sz w:val="22"/>
          <w:szCs w:val="22"/>
        </w:rPr>
        <w:t>Assessment</w:t>
      </w:r>
      <w:proofErr w:type="spellEnd"/>
      <w:r w:rsidR="005B4049" w:rsidRPr="0034568E">
        <w:rPr>
          <w:rFonts w:asciiTheme="minorHAnsi" w:hAnsiTheme="minorHAnsi" w:cstheme="minorHAnsi"/>
          <w:color w:val="242424"/>
          <w:sz w:val="22"/>
          <w:szCs w:val="22"/>
        </w:rPr>
        <w:t xml:space="preserve"> (TIA).</w:t>
      </w:r>
    </w:p>
    <w:p w14:paraId="7795A093" w14:textId="77777777" w:rsidR="005B4049" w:rsidRPr="0034568E" w:rsidRDefault="005B4049" w:rsidP="005B4049">
      <w:pPr>
        <w:pStyle w:val="NormalWeb"/>
        <w:spacing w:line="300" w:lineRule="atLeast"/>
        <w:rPr>
          <w:rFonts w:asciiTheme="minorHAnsi" w:hAnsiTheme="minorHAnsi" w:cstheme="minorHAnsi"/>
          <w:color w:val="242424"/>
          <w:sz w:val="22"/>
          <w:szCs w:val="22"/>
        </w:rPr>
      </w:pPr>
      <w:r w:rsidRPr="0034568E">
        <w:rPr>
          <w:rFonts w:asciiTheme="minorHAnsi" w:hAnsiTheme="minorHAnsi" w:cstheme="minorHAnsi"/>
          <w:color w:val="242424"/>
          <w:sz w:val="22"/>
          <w:szCs w:val="22"/>
        </w:rPr>
        <w:t xml:space="preserve">Videre bør det tas hensyn til praksis og håndheving av lovgivningen, som rapporten fra Taiwan Association for Human Rights (TAHR) og Googles </w:t>
      </w:r>
      <w:proofErr w:type="spellStart"/>
      <w:r w:rsidRPr="0034568E">
        <w:rPr>
          <w:rFonts w:asciiTheme="minorHAnsi" w:hAnsiTheme="minorHAnsi" w:cstheme="minorHAnsi"/>
          <w:color w:val="242424"/>
          <w:sz w:val="22"/>
          <w:szCs w:val="22"/>
        </w:rPr>
        <w:t>Transparency</w:t>
      </w:r>
      <w:proofErr w:type="spellEnd"/>
      <w:r w:rsidRPr="0034568E">
        <w:rPr>
          <w:rFonts w:asciiTheme="minorHAnsi" w:hAnsiTheme="minorHAnsi" w:cstheme="minorHAnsi"/>
          <w:color w:val="242424"/>
          <w:sz w:val="22"/>
          <w:szCs w:val="22"/>
        </w:rPr>
        <w:t xml:space="preserve"> Reports indikerer kan være mangelfull.</w:t>
      </w:r>
    </w:p>
    <w:p w14:paraId="423E1626" w14:textId="6A6F8B5B" w:rsidR="005B4049" w:rsidRPr="0034568E" w:rsidRDefault="005B4049" w:rsidP="005B4049">
      <w:pPr>
        <w:pStyle w:val="NormalWeb"/>
        <w:spacing w:line="300" w:lineRule="atLeast"/>
        <w:rPr>
          <w:rFonts w:asciiTheme="minorHAnsi" w:hAnsiTheme="minorHAnsi" w:cstheme="minorHAnsi"/>
          <w:color w:val="242424"/>
          <w:sz w:val="22"/>
          <w:szCs w:val="22"/>
        </w:rPr>
      </w:pPr>
      <w:r w:rsidRPr="0034568E">
        <w:rPr>
          <w:rFonts w:asciiTheme="minorHAnsi" w:hAnsiTheme="minorHAnsi" w:cstheme="minorHAnsi"/>
          <w:color w:val="242424"/>
          <w:sz w:val="22"/>
          <w:szCs w:val="22"/>
        </w:rPr>
        <w:t>Til slutt konkluderer</w:t>
      </w:r>
      <w:r w:rsidR="00135604">
        <w:rPr>
          <w:rFonts w:asciiTheme="minorHAnsi" w:hAnsiTheme="minorHAnsi" w:cstheme="minorHAnsi"/>
          <w:color w:val="242424"/>
          <w:sz w:val="22"/>
          <w:szCs w:val="22"/>
        </w:rPr>
        <w:t xml:space="preserve"> </w:t>
      </w:r>
      <w:r w:rsidR="00A479E4">
        <w:rPr>
          <w:rFonts w:asciiTheme="minorHAnsi" w:hAnsiTheme="minorHAnsi" w:cstheme="minorHAnsi"/>
          <w:color w:val="242424"/>
          <w:sz w:val="22"/>
          <w:szCs w:val="22"/>
        </w:rPr>
        <w:t>landvurderingen</w:t>
      </w:r>
      <w:r w:rsidRPr="0034568E">
        <w:rPr>
          <w:rFonts w:asciiTheme="minorHAnsi" w:hAnsiTheme="minorHAnsi" w:cstheme="minorHAnsi"/>
          <w:color w:val="242424"/>
          <w:sz w:val="22"/>
          <w:szCs w:val="22"/>
        </w:rPr>
        <w:t xml:space="preserve"> med at er det behov for ytterligere tiltak for å sikre et tilstrekkelig beskyttelsesnivå for personopplysninger overført til Taiwan.</w:t>
      </w:r>
    </w:p>
    <w:p w14:paraId="3F9DC2C1" w14:textId="19BF1926" w:rsidR="002C4415" w:rsidRPr="00EE32B6" w:rsidRDefault="002C4415" w:rsidP="002C4415">
      <w:pPr>
        <w:sectPr w:rsidR="002C4415" w:rsidRPr="00EE32B6" w:rsidSect="00190FF6">
          <w:headerReference w:type="default" r:id="rId13"/>
          <w:footerReference w:type="default" r:id="rId14"/>
          <w:pgSz w:w="11906" w:h="16838"/>
          <w:pgMar w:top="1417" w:right="1417" w:bottom="1417" w:left="1417" w:header="708" w:footer="708" w:gutter="0"/>
          <w:pgNumType w:start="0"/>
          <w:cols w:space="708"/>
          <w:titlePg/>
          <w:docGrid w:linePitch="360"/>
        </w:sectPr>
      </w:pPr>
    </w:p>
    <w:p w14:paraId="30773250" w14:textId="4EAB31B0" w:rsidR="003B691A" w:rsidRPr="00EE32B6" w:rsidRDefault="005B40A4" w:rsidP="003B691A">
      <w:pPr>
        <w:pStyle w:val="Overskrift2"/>
        <w:numPr>
          <w:ilvl w:val="0"/>
          <w:numId w:val="6"/>
        </w:numPr>
        <w:rPr>
          <w:b w:val="0"/>
          <w:bCs/>
        </w:rPr>
      </w:pPr>
      <w:bookmarkStart w:id="21" w:name="_Toc175831465"/>
      <w:r w:rsidRPr="00EE32B6">
        <w:rPr>
          <w:b w:val="0"/>
          <w:bCs/>
        </w:rPr>
        <w:lastRenderedPageBreak/>
        <w:t>Beskrivelse av relevante regelverk</w:t>
      </w:r>
      <w:r w:rsidR="002D6FB6" w:rsidRPr="00EE32B6">
        <w:rPr>
          <w:b w:val="0"/>
          <w:bCs/>
        </w:rPr>
        <w:t xml:space="preserve"> i Taiwan</w:t>
      </w:r>
      <w:bookmarkEnd w:id="21"/>
    </w:p>
    <w:p w14:paraId="3498C2A6" w14:textId="77777777" w:rsidR="00F57C3D" w:rsidRPr="008B7814" w:rsidRDefault="00F57C3D" w:rsidP="00241913">
      <w:pPr>
        <w:pStyle w:val="Overskrift3"/>
        <w:rPr>
          <w:lang w:val="en-GB"/>
        </w:rPr>
      </w:pPr>
      <w:bookmarkStart w:id="22" w:name="_Ref161748076"/>
      <w:bookmarkStart w:id="23" w:name="_Ref161755774"/>
      <w:bookmarkStart w:id="24" w:name="_Toc175831466"/>
      <w:r w:rsidRPr="008B7814">
        <w:rPr>
          <w:lang w:val="en-GB"/>
        </w:rPr>
        <w:t>Personal Data Protection Act (PDPA)</w:t>
      </w:r>
      <w:bookmarkEnd w:id="22"/>
      <w:bookmarkEnd w:id="23"/>
      <w:bookmarkEnd w:id="24"/>
    </w:p>
    <w:p w14:paraId="6370212F" w14:textId="4662F519" w:rsidR="00F57C3D" w:rsidRPr="00EE32B6" w:rsidRDefault="000F33E9" w:rsidP="00F57C3D">
      <w:pPr>
        <w:pStyle w:val="Overskrift4"/>
        <w:numPr>
          <w:ilvl w:val="2"/>
          <w:numId w:val="6"/>
        </w:numPr>
      </w:pPr>
      <w:r w:rsidRPr="00EE32B6">
        <w:t xml:space="preserve">Lovens </w:t>
      </w:r>
      <w:r w:rsidR="003D0273" w:rsidRPr="00EE32B6">
        <w:t>materielle virke</w:t>
      </w:r>
      <w:r w:rsidR="006B6522" w:rsidRPr="00EE32B6">
        <w:t>område</w:t>
      </w:r>
    </w:p>
    <w:p w14:paraId="6A6D9DE6" w14:textId="18A6B5AE" w:rsidR="00EA3121" w:rsidRPr="00EE32B6" w:rsidRDefault="00F57C3D" w:rsidP="00AE5825">
      <w:r w:rsidRPr="00EE32B6">
        <w:t xml:space="preserve">Personal Data </w:t>
      </w:r>
      <w:proofErr w:type="spellStart"/>
      <w:r w:rsidRPr="00EE32B6">
        <w:t>Protection</w:t>
      </w:r>
      <w:proofErr w:type="spellEnd"/>
      <w:r w:rsidRPr="00EE32B6">
        <w:t xml:space="preserve"> </w:t>
      </w:r>
      <w:proofErr w:type="spellStart"/>
      <w:r w:rsidRPr="00EE32B6">
        <w:t>Act</w:t>
      </w:r>
      <w:proofErr w:type="spellEnd"/>
      <w:r w:rsidRPr="00EE32B6">
        <w:t xml:space="preserve"> gjelder beskyttelse av personopplysninger i Taiwan. All innsamling, behandling og bruk av personopplysninger i Taiwan er underlagt reglene i PDPA og «</w:t>
      </w:r>
      <w:proofErr w:type="spellStart"/>
      <w:r w:rsidRPr="00EE32B6">
        <w:t>Enforcement</w:t>
      </w:r>
      <w:proofErr w:type="spellEnd"/>
      <w:r w:rsidRPr="00EE32B6">
        <w:t xml:space="preserve"> Rules».</w:t>
      </w:r>
      <w:r w:rsidRPr="00EE32B6">
        <w:rPr>
          <w:rStyle w:val="Fotnotereferanse"/>
        </w:rPr>
        <w:footnoteReference w:id="4"/>
      </w:r>
      <w:r w:rsidR="00CB6DE2">
        <w:t xml:space="preserve"> </w:t>
      </w:r>
      <w:r w:rsidR="006802AA">
        <w:t>Regelverket</w:t>
      </w:r>
      <w:r w:rsidR="00CB6DE2">
        <w:t xml:space="preserve"> ble satt i kraft i 2015.</w:t>
      </w:r>
      <w:r w:rsidR="00EA3121" w:rsidRPr="00EE32B6">
        <w:t xml:space="preserve"> </w:t>
      </w:r>
      <w:r w:rsidR="003665FC" w:rsidRPr="00EE32B6">
        <w:t>Taiwan er ikke omfattet av en adekvansbeslutning fra EU-kommisjonen.</w:t>
      </w:r>
    </w:p>
    <w:p w14:paraId="5B43E48A" w14:textId="1DEE1AA2" w:rsidR="00EF0E36" w:rsidRPr="00814952" w:rsidRDefault="00EF0E36" w:rsidP="00AE5825">
      <w:r w:rsidRPr="00814952">
        <w:t xml:space="preserve">I henhold til </w:t>
      </w:r>
      <w:r w:rsidR="00AC4821" w:rsidRPr="00814952">
        <w:t>artikkel 51 paragraf 2 i PDPA</w:t>
      </w:r>
      <w:r w:rsidR="0052577E" w:rsidRPr="00814952">
        <w:t>,</w:t>
      </w:r>
      <w:r w:rsidR="00AC4821" w:rsidRPr="00814952">
        <w:t xml:space="preserve"> sammenhold</w:t>
      </w:r>
      <w:r w:rsidR="00FD4E68" w:rsidRPr="00814952">
        <w:t>t med</w:t>
      </w:r>
      <w:r w:rsidR="006D0128" w:rsidRPr="00814952">
        <w:t xml:space="preserve"> utredningen fra kompetent autoritet (FA-Lu-</w:t>
      </w:r>
      <w:proofErr w:type="spellStart"/>
      <w:r w:rsidR="006D0128" w:rsidRPr="00814952">
        <w:t>Zi</w:t>
      </w:r>
      <w:proofErr w:type="spellEnd"/>
      <w:r w:rsidR="006D0128" w:rsidRPr="00814952">
        <w:t xml:space="preserve"> No. 10403509750</w:t>
      </w:r>
      <w:r w:rsidR="003855BD" w:rsidRPr="00814952">
        <w:t xml:space="preserve"> datert 26.august 2015)</w:t>
      </w:r>
      <w:r w:rsidR="00913560" w:rsidRPr="00814952">
        <w:t xml:space="preserve">, </w:t>
      </w:r>
      <w:r w:rsidR="00FA4885" w:rsidRPr="00814952">
        <w:t xml:space="preserve">omfatter PDPA all </w:t>
      </w:r>
      <w:r w:rsidR="00335B98" w:rsidRPr="00814952">
        <w:t>innsamling</w:t>
      </w:r>
      <w:r w:rsidR="003E27C3" w:rsidRPr="00814952">
        <w:t xml:space="preserve"> («</w:t>
      </w:r>
      <w:proofErr w:type="spellStart"/>
      <w:r w:rsidR="003E27C3" w:rsidRPr="00814952">
        <w:t>collection</w:t>
      </w:r>
      <w:proofErr w:type="spellEnd"/>
      <w:r w:rsidR="003E27C3" w:rsidRPr="00814952">
        <w:t>»)</w:t>
      </w:r>
      <w:r w:rsidR="00335B98" w:rsidRPr="00814952">
        <w:t>, behandling</w:t>
      </w:r>
      <w:r w:rsidR="003E27C3" w:rsidRPr="00814952">
        <w:t xml:space="preserve"> («</w:t>
      </w:r>
      <w:proofErr w:type="spellStart"/>
      <w:r w:rsidR="003E27C3" w:rsidRPr="00814952">
        <w:t>processing</w:t>
      </w:r>
      <w:proofErr w:type="spellEnd"/>
      <w:r w:rsidR="003E27C3" w:rsidRPr="00814952">
        <w:t>»),</w:t>
      </w:r>
      <w:r w:rsidR="00335B98" w:rsidRPr="00814952">
        <w:t xml:space="preserve"> og eller bruk</w:t>
      </w:r>
      <w:r w:rsidR="003E27C3" w:rsidRPr="00814952">
        <w:t xml:space="preserve"> («</w:t>
      </w:r>
      <w:proofErr w:type="spellStart"/>
      <w:r w:rsidR="003E27C3" w:rsidRPr="00814952">
        <w:t>use</w:t>
      </w:r>
      <w:proofErr w:type="spellEnd"/>
      <w:r w:rsidR="003E27C3" w:rsidRPr="00814952">
        <w:t>»)</w:t>
      </w:r>
      <w:r w:rsidR="00335B98" w:rsidRPr="00814952">
        <w:t xml:space="preserve"> av personopplysninger innenfor </w:t>
      </w:r>
      <w:r w:rsidR="00C654F3" w:rsidRPr="00814952">
        <w:t>Taiwansk territori</w:t>
      </w:r>
      <w:r w:rsidR="00431F9C" w:rsidRPr="00814952">
        <w:t>um</w:t>
      </w:r>
      <w:r w:rsidR="00C654F3" w:rsidRPr="00814952">
        <w:t xml:space="preserve"> – uavhengig av om de registrerte («data </w:t>
      </w:r>
      <w:proofErr w:type="spellStart"/>
      <w:r w:rsidR="00C654F3" w:rsidRPr="00814952">
        <w:t>subjects</w:t>
      </w:r>
      <w:proofErr w:type="spellEnd"/>
      <w:r w:rsidR="00C654F3" w:rsidRPr="00814952">
        <w:t xml:space="preserve">») er lokalisert </w:t>
      </w:r>
      <w:r w:rsidR="00BE52DC" w:rsidRPr="00814952">
        <w:t xml:space="preserve">i Taiwan eller ikke. </w:t>
      </w:r>
      <w:r w:rsidR="00D93C2A" w:rsidRPr="00814952">
        <w:rPr>
          <w:rStyle w:val="Fotnotereferanse"/>
        </w:rPr>
        <w:footnoteReference w:id="5"/>
      </w:r>
    </w:p>
    <w:p w14:paraId="01CFEDF6" w14:textId="77777777" w:rsidR="00986BAD" w:rsidRPr="00814952" w:rsidRDefault="005D2785" w:rsidP="00AE5825">
      <w:r w:rsidRPr="00814952">
        <w:t>Med behandling («</w:t>
      </w:r>
      <w:proofErr w:type="spellStart"/>
      <w:r w:rsidRPr="00814952">
        <w:t>processing</w:t>
      </w:r>
      <w:proofErr w:type="spellEnd"/>
      <w:r w:rsidRPr="00814952">
        <w:t>»)</w:t>
      </w:r>
      <w:r w:rsidR="00DF027A" w:rsidRPr="00814952">
        <w:t xml:space="preserve"> </w:t>
      </w:r>
      <w:r w:rsidR="001B1045" w:rsidRPr="00814952">
        <w:t xml:space="preserve">av personopplysninger </w:t>
      </w:r>
      <w:r w:rsidR="00DF027A" w:rsidRPr="00814952">
        <w:t>menes «</w:t>
      </w:r>
      <w:proofErr w:type="spellStart"/>
      <w:r w:rsidR="00DF027A" w:rsidRPr="00814952">
        <w:t>recording</w:t>
      </w:r>
      <w:proofErr w:type="spellEnd"/>
      <w:r w:rsidR="00DF027A" w:rsidRPr="00814952">
        <w:t>», «</w:t>
      </w:r>
      <w:proofErr w:type="spellStart"/>
      <w:r w:rsidR="00DF027A" w:rsidRPr="00814952">
        <w:t>inputting</w:t>
      </w:r>
      <w:proofErr w:type="spellEnd"/>
      <w:r w:rsidR="00DF027A" w:rsidRPr="00814952">
        <w:t xml:space="preserve">», </w:t>
      </w:r>
      <w:r w:rsidR="00DF027A" w:rsidRPr="00814952">
        <w:rPr>
          <w:b/>
          <w:bCs/>
        </w:rPr>
        <w:t>«storing»</w:t>
      </w:r>
      <w:r w:rsidR="00DF027A" w:rsidRPr="00814952">
        <w:t xml:space="preserve">, </w:t>
      </w:r>
      <w:r w:rsidR="00F02146" w:rsidRPr="00814952">
        <w:t>«</w:t>
      </w:r>
      <w:proofErr w:type="spellStart"/>
      <w:r w:rsidR="00F02146" w:rsidRPr="00814952">
        <w:t>compiling</w:t>
      </w:r>
      <w:proofErr w:type="spellEnd"/>
      <w:r w:rsidR="00F02146" w:rsidRPr="00814952">
        <w:t>/</w:t>
      </w:r>
      <w:proofErr w:type="spellStart"/>
      <w:r w:rsidR="00F02146" w:rsidRPr="00814952">
        <w:t>editing</w:t>
      </w:r>
      <w:proofErr w:type="spellEnd"/>
      <w:r w:rsidR="00F02146" w:rsidRPr="00814952">
        <w:t>», «</w:t>
      </w:r>
      <w:proofErr w:type="spellStart"/>
      <w:r w:rsidR="00F02146" w:rsidRPr="00814952">
        <w:t>correcting</w:t>
      </w:r>
      <w:proofErr w:type="spellEnd"/>
      <w:r w:rsidR="00F02146" w:rsidRPr="00814952">
        <w:t>», «</w:t>
      </w:r>
      <w:proofErr w:type="spellStart"/>
      <w:r w:rsidR="00F02146" w:rsidRPr="00814952">
        <w:t>duplicating</w:t>
      </w:r>
      <w:proofErr w:type="spellEnd"/>
      <w:r w:rsidR="00F02146" w:rsidRPr="00814952">
        <w:t>», «</w:t>
      </w:r>
      <w:proofErr w:type="spellStart"/>
      <w:r w:rsidR="00F02146" w:rsidRPr="00814952">
        <w:t>retrieving</w:t>
      </w:r>
      <w:proofErr w:type="spellEnd"/>
      <w:r w:rsidR="00F02146" w:rsidRPr="00814952">
        <w:t>», «</w:t>
      </w:r>
      <w:proofErr w:type="spellStart"/>
      <w:r w:rsidR="00F02146" w:rsidRPr="00814952">
        <w:t>deleting</w:t>
      </w:r>
      <w:proofErr w:type="spellEnd"/>
      <w:r w:rsidR="00F02146" w:rsidRPr="00814952">
        <w:t>», «</w:t>
      </w:r>
      <w:proofErr w:type="spellStart"/>
      <w:r w:rsidR="00F02146" w:rsidRPr="00814952">
        <w:t>outputting</w:t>
      </w:r>
      <w:proofErr w:type="spellEnd"/>
      <w:r w:rsidR="00F02146" w:rsidRPr="00814952">
        <w:t>», «</w:t>
      </w:r>
      <w:proofErr w:type="spellStart"/>
      <w:r w:rsidR="002E2009" w:rsidRPr="00814952">
        <w:t>connecting</w:t>
      </w:r>
      <w:proofErr w:type="spellEnd"/>
      <w:r w:rsidR="002E2009" w:rsidRPr="00814952">
        <w:t>». Med bruk («</w:t>
      </w:r>
      <w:proofErr w:type="spellStart"/>
      <w:r w:rsidR="002E2009" w:rsidRPr="00814952">
        <w:t>use</w:t>
      </w:r>
      <w:proofErr w:type="spellEnd"/>
      <w:r w:rsidR="002E2009" w:rsidRPr="00814952">
        <w:t xml:space="preserve">») menes </w:t>
      </w:r>
      <w:r w:rsidR="001B1045" w:rsidRPr="00814952">
        <w:t>håndtering</w:t>
      </w:r>
      <w:r w:rsidR="007F2942" w:rsidRPr="00814952">
        <w:t xml:space="preserve"> av </w:t>
      </w:r>
      <w:r w:rsidR="001B1045" w:rsidRPr="00814952">
        <w:t>personopplysninger</w:t>
      </w:r>
      <w:r w:rsidR="007F2942" w:rsidRPr="00814952">
        <w:t xml:space="preserve"> </w:t>
      </w:r>
      <w:r w:rsidR="0043771C" w:rsidRPr="00814952">
        <w:t xml:space="preserve">via </w:t>
      </w:r>
      <w:r w:rsidR="007F2942" w:rsidRPr="00814952">
        <w:t xml:space="preserve">alle andre metoder utenom det som </w:t>
      </w:r>
      <w:r w:rsidR="006C6472" w:rsidRPr="00814952">
        <w:t>nevnes under begrepet «</w:t>
      </w:r>
      <w:proofErr w:type="spellStart"/>
      <w:r w:rsidR="006C6472" w:rsidRPr="00814952">
        <w:t>processing</w:t>
      </w:r>
      <w:proofErr w:type="spellEnd"/>
      <w:r w:rsidR="006C6472" w:rsidRPr="00814952">
        <w:t xml:space="preserve">». </w:t>
      </w:r>
    </w:p>
    <w:p w14:paraId="2C5DA1B3" w14:textId="189E091A" w:rsidR="00E47190" w:rsidRPr="00814952" w:rsidRDefault="00BF1BDB" w:rsidP="00AE5825">
      <w:r w:rsidRPr="00814952">
        <w:t>Overføring av personopplysninger om norske brukere av GWE til datasenter i Taiwan vil med dette utgjøre</w:t>
      </w:r>
      <w:r w:rsidR="00470FD0" w:rsidRPr="00814952">
        <w:t xml:space="preserve"> en behandling («</w:t>
      </w:r>
      <w:proofErr w:type="spellStart"/>
      <w:r w:rsidR="00470FD0" w:rsidRPr="00814952">
        <w:t>processing</w:t>
      </w:r>
      <w:proofErr w:type="spellEnd"/>
      <w:r w:rsidR="00470FD0" w:rsidRPr="00814952">
        <w:t xml:space="preserve">») av personopplysninger </w:t>
      </w:r>
      <w:r w:rsidR="0061651B" w:rsidRPr="00814952">
        <w:t xml:space="preserve">som dekkes av </w:t>
      </w:r>
      <w:r w:rsidR="00470FD0" w:rsidRPr="00814952">
        <w:t xml:space="preserve">PDPA. </w:t>
      </w:r>
    </w:p>
    <w:p w14:paraId="21856A56" w14:textId="74AA34C7" w:rsidR="00126979" w:rsidRPr="00EE32B6" w:rsidRDefault="000A1081" w:rsidP="00126979">
      <w:pPr>
        <w:pStyle w:val="Overskrift4"/>
        <w:numPr>
          <w:ilvl w:val="2"/>
          <w:numId w:val="6"/>
        </w:numPr>
      </w:pPr>
      <w:r w:rsidRPr="00EE32B6">
        <w:t>Myndighetenes t</w:t>
      </w:r>
      <w:r w:rsidR="00126979" w:rsidRPr="00EE32B6">
        <w:t>ilgang til overførte data</w:t>
      </w:r>
    </w:p>
    <w:p w14:paraId="164D2502" w14:textId="77777777" w:rsidR="00126979" w:rsidRPr="00EE32B6" w:rsidRDefault="00126979" w:rsidP="00126979">
      <w:r w:rsidRPr="00EE32B6">
        <w:t xml:space="preserve">Kapittel 2 i PDPA regulerer innsamling og håndtering av data som faller utenfor bestemmelsene i kapittel 1. Dette omfatter bl.a. innsamling av data som er nødvendig av hensyn til nasjonal sikkerhet eller i et straffeforfølgelsesøyemed. </w:t>
      </w:r>
    </w:p>
    <w:p w14:paraId="2891874F" w14:textId="77777777" w:rsidR="00126979" w:rsidRPr="00EE32B6" w:rsidRDefault="00126979" w:rsidP="00126979">
      <w:r w:rsidRPr="00EE32B6">
        <w:t xml:space="preserve">Artiklene 15 og 16 utgjør rammene for slik behandling. Etter artikkel 15 er behandling av personopplysninger utenom kap.1 kun lov dersom ett av tre vilkår er oppfylt: Nødvendig for en lovbestemt forpliktelse for staten, samtykke, eller at datasubjektets rettigheter og interesser ikke blir krenket. Artikkel 16 fastsetter hvilke lovlige formål en slik behandling kan ha. De mest relevante formålene er at behandlingen er lovpålagt, og at behandlingen er nødvendighet for nasjonal sikkerhet eller offentlige interesser. Begge artiklene 15 og 16 referer til øvrige nasjonale regler generelt. Vi viser til punkt </w:t>
      </w:r>
      <w:r w:rsidRPr="00EE32B6">
        <w:fldChar w:fldCharType="begin"/>
      </w:r>
      <w:r w:rsidRPr="00EE32B6">
        <w:instrText xml:space="preserve"> REF _Ref161735959 \r \h </w:instrText>
      </w:r>
      <w:r w:rsidRPr="00EE32B6">
        <w:fldChar w:fldCharType="separate"/>
      </w:r>
      <w:r w:rsidRPr="00EE32B6">
        <w:t>1.2</w:t>
      </w:r>
      <w:r w:rsidRPr="00EE32B6">
        <w:fldChar w:fldCharType="end"/>
      </w:r>
      <w:r w:rsidRPr="00EE32B6">
        <w:t xml:space="preserve"> over for en oversikt, og ellers til vurderingen av disse nedenfor. </w:t>
      </w:r>
    </w:p>
    <w:p w14:paraId="7200A369" w14:textId="77777777" w:rsidR="00126979" w:rsidRPr="00EE32B6" w:rsidRDefault="00126979" w:rsidP="00126979">
      <w:r w:rsidRPr="00EE32B6">
        <w:t>Private virksomheter og organisasjoner kan ikke motsette seg begjæringer om innsyn eller inndrivelse av data fra statlige myndigheter. Organisasjoner kan imidlertid sende klage til kompetent autoritet, dersom de mener begjæringen er ulovlig. Dersom en klage ikke fører frem, kan organisasjonen klage saken videre for relevant nasjonal domstol/domstolslignende organ. Ordlyden er ellers taus når det gjelder de nærmere ramme og rekkevidde av Taiwans myndighet til å inndrive data.</w:t>
      </w:r>
    </w:p>
    <w:p w14:paraId="506D08EE" w14:textId="77777777" w:rsidR="00F40A5A" w:rsidRPr="00EE32B6" w:rsidRDefault="00F40A5A" w:rsidP="00F40A5A">
      <w:pPr>
        <w:pStyle w:val="Overskrift4"/>
        <w:numPr>
          <w:ilvl w:val="2"/>
          <w:numId w:val="6"/>
        </w:numPr>
      </w:pPr>
      <w:r w:rsidRPr="00EE32B6">
        <w:t>Lovlig behandlingsgrunnlag</w:t>
      </w:r>
    </w:p>
    <w:p w14:paraId="01FC7765" w14:textId="77777777" w:rsidR="00F40A5A" w:rsidRPr="00EE32B6" w:rsidRDefault="00F40A5A" w:rsidP="00F40A5A">
      <w:r w:rsidRPr="00EE32B6">
        <w:t>I henhold til PDPA kapittel 1 har staten tilgang på personopplysninger og behandling begrenset til tilfeller der følgende vilkår er oppfylt:</w:t>
      </w:r>
    </w:p>
    <w:p w14:paraId="4D7D0481" w14:textId="77777777" w:rsidR="00F40A5A" w:rsidRPr="00EE32B6" w:rsidRDefault="00F40A5A" w:rsidP="00F40A5A">
      <w:pPr>
        <w:pStyle w:val="Listeavsnitt"/>
        <w:numPr>
          <w:ilvl w:val="0"/>
          <w:numId w:val="10"/>
        </w:numPr>
      </w:pPr>
      <w:r w:rsidRPr="00EE32B6">
        <w:t>Der dette er nødvendig for utøvelse av lovpålagte forpliktelser hos staten.</w:t>
      </w:r>
    </w:p>
    <w:p w14:paraId="5022A627" w14:textId="77777777" w:rsidR="00F40A5A" w:rsidRPr="00EE32B6" w:rsidRDefault="00F40A5A" w:rsidP="00F40A5A">
      <w:pPr>
        <w:pStyle w:val="Listeavsnitt"/>
        <w:numPr>
          <w:ilvl w:val="0"/>
          <w:numId w:val="10"/>
        </w:numPr>
      </w:pPr>
      <w:r w:rsidRPr="00EE32B6">
        <w:t>Der samtykke er gitt fra individet (datasubjektet), og;</w:t>
      </w:r>
    </w:p>
    <w:p w14:paraId="5C4CF61D" w14:textId="77777777" w:rsidR="00F40A5A" w:rsidRPr="00EE32B6" w:rsidRDefault="00F40A5A" w:rsidP="00F40A5A">
      <w:pPr>
        <w:pStyle w:val="Listeavsnitt"/>
        <w:numPr>
          <w:ilvl w:val="0"/>
          <w:numId w:val="10"/>
        </w:numPr>
      </w:pPr>
      <w:r w:rsidRPr="00EE32B6">
        <w:t>Der rettighetene og interessene til datasubjektet ikke er krenket</w:t>
      </w:r>
    </w:p>
    <w:p w14:paraId="7BDD48DA" w14:textId="77777777" w:rsidR="00F57C3D" w:rsidRPr="00EE32B6" w:rsidRDefault="00F57C3D" w:rsidP="00F57C3D">
      <w:pPr>
        <w:pStyle w:val="Overskrift4"/>
        <w:numPr>
          <w:ilvl w:val="2"/>
          <w:numId w:val="6"/>
        </w:numPr>
      </w:pPr>
      <w:r w:rsidRPr="00EE32B6">
        <w:lastRenderedPageBreak/>
        <w:t>Prinsipper, rettigheter og øvrige begrensninger for behandling av personopplysninger</w:t>
      </w:r>
    </w:p>
    <w:p w14:paraId="7D36AECF" w14:textId="4A866BB9" w:rsidR="00F57C3D" w:rsidRPr="00EE32B6" w:rsidRDefault="00F57C3D" w:rsidP="00D2621B">
      <w:r w:rsidRPr="00EE32B6">
        <w:t>PDPA inneholder overordnede prinsipper for etterlevelse av regelverket. Prinsippene listes opp i ulike bestemmelser.</w:t>
      </w:r>
      <w:r w:rsidRPr="00EE32B6">
        <w:rPr>
          <w:rStyle w:val="Fotnotereferanse"/>
        </w:rPr>
        <w:footnoteReference w:id="6"/>
      </w:r>
      <w:r w:rsidRPr="00EE32B6">
        <w:t xml:space="preserve"> </w:t>
      </w:r>
      <w:r w:rsidR="00DA14F6" w:rsidRPr="00EE32B6">
        <w:t>Prinsippene inkluderer krav til forholdsmessig, adekvat og relevant behandling av data</w:t>
      </w:r>
      <w:r w:rsidR="00F06CDB" w:rsidRPr="00EE32B6">
        <w:t>;</w:t>
      </w:r>
      <w:r w:rsidR="00DA14F6" w:rsidRPr="00EE32B6">
        <w:t xml:space="preserve"> </w:t>
      </w:r>
      <w:r w:rsidR="00F05848" w:rsidRPr="00EE32B6">
        <w:t>formålsbegrensing, nødvendighet og forholdsmessighet for behandlingene</w:t>
      </w:r>
      <w:r w:rsidR="00FF214C" w:rsidRPr="00EE32B6">
        <w:t>; særlige regler for sensitive personopplysninger og øvrige prinsipper som finnes igjen i GDPR.</w:t>
      </w:r>
      <w:r w:rsidR="00FF214C" w:rsidRPr="00EE32B6">
        <w:rPr>
          <w:rStyle w:val="Fotnotereferanse"/>
        </w:rPr>
        <w:footnoteReference w:id="7"/>
      </w:r>
      <w:r w:rsidRPr="00EE32B6">
        <w:t xml:space="preserve"> </w:t>
      </w:r>
    </w:p>
    <w:p w14:paraId="604145DF" w14:textId="77777777" w:rsidR="00F57C3D" w:rsidRPr="00EE32B6" w:rsidRDefault="00F57C3D" w:rsidP="00F57C3D">
      <w:pPr>
        <w:pStyle w:val="Overskrift4"/>
        <w:numPr>
          <w:ilvl w:val="2"/>
          <w:numId w:val="6"/>
        </w:numPr>
      </w:pPr>
      <w:r w:rsidRPr="00EE32B6">
        <w:t>Håndheving, kontroll og prøving av rettigheter</w:t>
      </w:r>
    </w:p>
    <w:p w14:paraId="2F375A9A" w14:textId="2033546F" w:rsidR="00E80A71" w:rsidRPr="00EE32B6" w:rsidRDefault="00E80A71" w:rsidP="00E80A71">
      <w:r w:rsidRPr="00EE32B6">
        <w:t xml:space="preserve">Det eksisterer ikke en dedikert, uavhengig og kontrollerende aktør tilsvarende europeiske datatilsyn. Senere endringer ved PDPA har imidlertid formalisert etableringen av et slikt organ. Dette organet skal kalles Personal Data </w:t>
      </w:r>
      <w:proofErr w:type="spellStart"/>
      <w:r w:rsidRPr="00EE32B6">
        <w:t>Protection</w:t>
      </w:r>
      <w:proofErr w:type="spellEnd"/>
      <w:r w:rsidRPr="00EE32B6">
        <w:t xml:space="preserve"> </w:t>
      </w:r>
      <w:proofErr w:type="spellStart"/>
      <w:r w:rsidRPr="00EE32B6">
        <w:t>Comission</w:t>
      </w:r>
      <w:proofErr w:type="spellEnd"/>
      <w:r w:rsidRPr="00EE32B6">
        <w:t xml:space="preserve"> (PDPC), men er enda ikke virksomt i praksis.</w:t>
      </w:r>
      <w:r w:rsidRPr="00EE32B6">
        <w:rPr>
          <w:rStyle w:val="Fotnotereferanse"/>
        </w:rPr>
        <w:footnoteReference w:id="8"/>
      </w:r>
      <w:r w:rsidRPr="00EE32B6">
        <w:t xml:space="preserve"> </w:t>
      </w:r>
    </w:p>
    <w:p w14:paraId="43225C72" w14:textId="0EBE9307" w:rsidR="00F57C3D" w:rsidRPr="00EE32B6" w:rsidRDefault="00F57C3D" w:rsidP="00F57C3D">
      <w:r w:rsidRPr="00EE32B6">
        <w:t>National Development Council (NDC)</w:t>
      </w:r>
      <w:r w:rsidR="00F50FF4" w:rsidRPr="00EE32B6">
        <w:t xml:space="preserve"> </w:t>
      </w:r>
      <w:r w:rsidR="00C308CD" w:rsidRPr="00EE32B6">
        <w:t>skal</w:t>
      </w:r>
      <w:r w:rsidRPr="00EE32B6">
        <w:t xml:space="preserve"> håndheve og avsi beslutninger på saker </w:t>
      </w:r>
      <w:r w:rsidR="0077205F" w:rsidRPr="00EE32B6">
        <w:t xml:space="preserve">på </w:t>
      </w:r>
      <w:proofErr w:type="spellStart"/>
      <w:r w:rsidR="0077205F" w:rsidRPr="00EE32B6">
        <w:t>PDPAs</w:t>
      </w:r>
      <w:proofErr w:type="spellEnd"/>
      <w:r w:rsidR="0077205F" w:rsidRPr="00EE32B6">
        <w:t xml:space="preserve"> område</w:t>
      </w:r>
      <w:r w:rsidR="00145570" w:rsidRPr="00EE32B6">
        <w:t xml:space="preserve">, samt </w:t>
      </w:r>
      <w:r w:rsidR="00B5567A" w:rsidRPr="00EE32B6">
        <w:t>kompetanse til å tolke både PD</w:t>
      </w:r>
      <w:r w:rsidR="00554196" w:rsidRPr="00EE32B6">
        <w:t>P</w:t>
      </w:r>
      <w:r w:rsidR="00B5567A" w:rsidRPr="00EE32B6">
        <w:t>A og de interne</w:t>
      </w:r>
      <w:r w:rsidR="00554196" w:rsidRPr="00EE32B6">
        <w:t xml:space="preserve"> </w:t>
      </w:r>
      <w:r w:rsidR="00B5567A" w:rsidRPr="00EE32B6">
        <w:t xml:space="preserve">prosedyrene </w:t>
      </w:r>
      <w:r w:rsidR="001A0400" w:rsidRPr="00EE32B6">
        <w:t>som statlige aktører er forpliktet til å etablere under PDPA</w:t>
      </w:r>
      <w:r w:rsidRPr="00EE32B6">
        <w:t xml:space="preserve">. </w:t>
      </w:r>
    </w:p>
    <w:p w14:paraId="2A307C75" w14:textId="77777777" w:rsidR="001C56E5" w:rsidRPr="00EE32B6" w:rsidRDefault="001C56E5" w:rsidP="001C56E5">
      <w:pPr>
        <w:pStyle w:val="Overskrift4"/>
        <w:numPr>
          <w:ilvl w:val="2"/>
          <w:numId w:val="6"/>
        </w:numPr>
      </w:pPr>
      <w:r w:rsidRPr="00EE32B6">
        <w:t>Tilnærming til GDPR og adekvansbeslutning</w:t>
      </w:r>
    </w:p>
    <w:p w14:paraId="628FEE37" w14:textId="4F9279B1" w:rsidR="001C56E5" w:rsidRPr="00EE32B6" w:rsidRDefault="001C56E5" w:rsidP="001C56E5">
      <w:pPr>
        <w:rPr>
          <w:i/>
          <w:iCs/>
        </w:rPr>
      </w:pPr>
      <w:r w:rsidRPr="00EE32B6">
        <w:t>PDPA har vært gjenstand for flere endringer siden ikraftsettelse i 2015. Deler av disse endringene kan trolig spores tilbake til europeisk innflytelse og inspirasjon fra GDPR som lovverk.</w:t>
      </w:r>
      <w:r w:rsidRPr="00EE32B6">
        <w:rPr>
          <w:rStyle w:val="Fotnotereferanse"/>
        </w:rPr>
        <w:footnoteReference w:id="9"/>
      </w:r>
      <w:r w:rsidRPr="00EE32B6">
        <w:t xml:space="preserve"> Det er grunn til å tro at Taiwanske myndigheter har en ambisjon om å oppnå adekvansbeslutning fra EU.</w:t>
      </w:r>
      <w:r w:rsidRPr="00EE32B6">
        <w:rPr>
          <w:rStyle w:val="Fotnotereferanse"/>
        </w:rPr>
        <w:footnoteReference w:id="10"/>
      </w:r>
      <w:r w:rsidRPr="00EE32B6">
        <w:t xml:space="preserve"> Siden 2015 er det holdt flere offentlige høringer. Målet med høringene er å utbedre PDPA på en demokratisk måte.</w:t>
      </w:r>
      <w:r w:rsidRPr="00EE32B6">
        <w:rPr>
          <w:rStyle w:val="Fotnotereferanse"/>
        </w:rPr>
        <w:t xml:space="preserve"> </w:t>
      </w:r>
      <w:r w:rsidRPr="00EE32B6">
        <w:rPr>
          <w:rStyle w:val="Fotnotereferanse"/>
        </w:rPr>
        <w:footnoteReference w:id="11"/>
      </w:r>
      <w:r w:rsidRPr="00EE32B6">
        <w:t xml:space="preserve"> Det er ikke kjent for prosjektet om, eller eventuelt hvor i prosessen EU er med å godkjenne Taiwan som lovlig importør av overførte personopplysninger.</w:t>
      </w:r>
      <w:r w:rsidR="00F840FD" w:rsidRPr="00EE32B6">
        <w:rPr>
          <w:i/>
          <w:iCs/>
        </w:rPr>
        <w:t xml:space="preserve"> </w:t>
      </w:r>
    </w:p>
    <w:p w14:paraId="22FA508E" w14:textId="372FF58D" w:rsidR="00F57C3D" w:rsidRPr="00EE32B6" w:rsidRDefault="00F57C3D" w:rsidP="00241913">
      <w:pPr>
        <w:pStyle w:val="Overskrift3"/>
      </w:pPr>
      <w:bookmarkStart w:id="25" w:name="_Ref161748119"/>
      <w:bookmarkStart w:id="26" w:name="_Toc175831467"/>
      <w:proofErr w:type="spellStart"/>
      <w:r w:rsidRPr="00EE32B6">
        <w:t>Communication</w:t>
      </w:r>
      <w:proofErr w:type="spellEnd"/>
      <w:r w:rsidRPr="00EE32B6">
        <w:t xml:space="preserve"> Security and </w:t>
      </w:r>
      <w:proofErr w:type="spellStart"/>
      <w:r w:rsidRPr="00EE32B6">
        <w:t>Surveillance</w:t>
      </w:r>
      <w:proofErr w:type="spellEnd"/>
      <w:r w:rsidRPr="00EE32B6">
        <w:t xml:space="preserve"> </w:t>
      </w:r>
      <w:proofErr w:type="spellStart"/>
      <w:r w:rsidRPr="00EE32B6">
        <w:t>Act</w:t>
      </w:r>
      <w:bookmarkEnd w:id="25"/>
      <w:bookmarkEnd w:id="26"/>
      <w:proofErr w:type="spellEnd"/>
    </w:p>
    <w:p w14:paraId="0694E95C" w14:textId="77777777" w:rsidR="006B6522" w:rsidRPr="00EE32B6" w:rsidRDefault="006B6522" w:rsidP="006B6522">
      <w:pPr>
        <w:pStyle w:val="Overskrift4"/>
        <w:numPr>
          <w:ilvl w:val="2"/>
          <w:numId w:val="6"/>
        </w:numPr>
      </w:pPr>
      <w:r w:rsidRPr="00EE32B6">
        <w:t>Lovens materielle virkeområde</w:t>
      </w:r>
    </w:p>
    <w:p w14:paraId="21C8945B" w14:textId="7C256F08" w:rsidR="00FB2036" w:rsidRPr="00EE32B6" w:rsidRDefault="00FB2036" w:rsidP="00FB2036">
      <w:proofErr w:type="spellStart"/>
      <w:r w:rsidRPr="00EE32B6">
        <w:t>Communication</w:t>
      </w:r>
      <w:proofErr w:type="spellEnd"/>
      <w:r w:rsidRPr="00EE32B6">
        <w:t xml:space="preserve"> Security and </w:t>
      </w:r>
      <w:proofErr w:type="spellStart"/>
      <w:r w:rsidRPr="00EE32B6">
        <w:t>Surveillance</w:t>
      </w:r>
      <w:proofErr w:type="spellEnd"/>
      <w:r w:rsidRPr="00EE32B6">
        <w:t xml:space="preserve"> </w:t>
      </w:r>
      <w:proofErr w:type="spellStart"/>
      <w:r w:rsidRPr="00EE32B6">
        <w:t>Act</w:t>
      </w:r>
      <w:proofErr w:type="spellEnd"/>
      <w:r w:rsidRPr="00EE32B6">
        <w:t xml:space="preserve"> (</w:t>
      </w:r>
      <w:r w:rsidR="00AA4AC0">
        <w:t>"</w:t>
      </w:r>
      <w:r w:rsidRPr="00614443">
        <w:rPr>
          <w:b/>
          <w:bCs/>
        </w:rPr>
        <w:t>CSSA</w:t>
      </w:r>
      <w:r w:rsidR="00AA4AC0">
        <w:t>"</w:t>
      </w:r>
      <w:r w:rsidRPr="00EE32B6">
        <w:t xml:space="preserve">) autoriserer statlig overvåkning av kommunikasjon som vurderes relevant inn mot politi- eller annen statlig iverksatt etterforskning. </w:t>
      </w:r>
    </w:p>
    <w:p w14:paraId="26F03091" w14:textId="77777777" w:rsidR="00FB2036" w:rsidRPr="00AA16A5" w:rsidRDefault="00FB2036" w:rsidP="00FB2036">
      <w:pPr>
        <w:rPr>
          <w:lang w:val="en-GB"/>
        </w:rPr>
      </w:pPr>
      <w:proofErr w:type="spellStart"/>
      <w:r w:rsidRPr="00AA16A5">
        <w:rPr>
          <w:lang w:val="en-GB"/>
        </w:rPr>
        <w:t>Formålet</w:t>
      </w:r>
      <w:proofErr w:type="spellEnd"/>
      <w:r w:rsidRPr="00AA16A5">
        <w:rPr>
          <w:lang w:val="en-GB"/>
        </w:rPr>
        <w:t xml:space="preserve"> med </w:t>
      </w:r>
      <w:proofErr w:type="spellStart"/>
      <w:r w:rsidRPr="00AA16A5">
        <w:rPr>
          <w:lang w:val="en-GB"/>
        </w:rPr>
        <w:t>regelverket</w:t>
      </w:r>
      <w:proofErr w:type="spellEnd"/>
      <w:r w:rsidRPr="00AA16A5">
        <w:rPr>
          <w:lang w:val="en-GB"/>
        </w:rPr>
        <w:t xml:space="preserve"> er </w:t>
      </w:r>
      <w:proofErr w:type="spellStart"/>
      <w:r w:rsidRPr="00AA16A5">
        <w:rPr>
          <w:lang w:val="en-GB"/>
        </w:rPr>
        <w:t>som</w:t>
      </w:r>
      <w:proofErr w:type="spellEnd"/>
      <w:r w:rsidRPr="00AA16A5">
        <w:rPr>
          <w:lang w:val="en-GB"/>
        </w:rPr>
        <w:t xml:space="preserve"> </w:t>
      </w:r>
      <w:proofErr w:type="spellStart"/>
      <w:r w:rsidRPr="00AA16A5">
        <w:rPr>
          <w:lang w:val="en-GB"/>
        </w:rPr>
        <w:t>følger</w:t>
      </w:r>
      <w:proofErr w:type="spellEnd"/>
      <w:r w:rsidRPr="00AA16A5">
        <w:rPr>
          <w:lang w:val="en-GB"/>
        </w:rPr>
        <w:t xml:space="preserve">: </w:t>
      </w:r>
    </w:p>
    <w:p w14:paraId="6783E56B" w14:textId="689CDE8F" w:rsidR="00FB2036" w:rsidRPr="00AA16A5" w:rsidRDefault="00FB2036" w:rsidP="00D2621B">
      <w:pPr>
        <w:ind w:left="708"/>
        <w:rPr>
          <w:lang w:val="en-GB"/>
        </w:rPr>
      </w:pPr>
      <w:r w:rsidRPr="00AA16A5">
        <w:rPr>
          <w:lang w:val="en-GB"/>
        </w:rPr>
        <w:t xml:space="preserve">«This Act is enacted to safeguard the freedom of private communications and privacy, to protect from unlawful intrusion, and to ensure national security and maintain social </w:t>
      </w:r>
      <w:proofErr w:type="gramStart"/>
      <w:r w:rsidRPr="00AA16A5">
        <w:rPr>
          <w:lang w:val="en-GB"/>
        </w:rPr>
        <w:t>order.»</w:t>
      </w:r>
      <w:proofErr w:type="gramEnd"/>
      <w:r w:rsidRPr="00AA16A5">
        <w:rPr>
          <w:lang w:val="en-GB"/>
        </w:rPr>
        <w:t xml:space="preserve"> (</w:t>
      </w:r>
      <w:proofErr w:type="spellStart"/>
      <w:proofErr w:type="gramStart"/>
      <w:r w:rsidRPr="00AA16A5">
        <w:rPr>
          <w:lang w:val="en-GB"/>
        </w:rPr>
        <w:t>jf</w:t>
      </w:r>
      <w:proofErr w:type="spellEnd"/>
      <w:proofErr w:type="gramEnd"/>
      <w:r w:rsidRPr="00AA16A5">
        <w:rPr>
          <w:lang w:val="en-GB"/>
        </w:rPr>
        <w:t xml:space="preserve">. </w:t>
      </w:r>
      <w:proofErr w:type="spellStart"/>
      <w:r w:rsidRPr="00AA16A5">
        <w:rPr>
          <w:lang w:val="en-GB"/>
        </w:rPr>
        <w:t>Artikkel</w:t>
      </w:r>
      <w:proofErr w:type="spellEnd"/>
      <w:r w:rsidRPr="00AA16A5">
        <w:rPr>
          <w:lang w:val="en-GB"/>
        </w:rPr>
        <w:t xml:space="preserve"> 1)</w:t>
      </w:r>
    </w:p>
    <w:p w14:paraId="7CCD5740" w14:textId="2EABC18B" w:rsidR="00A35F05" w:rsidRPr="00EE32B6" w:rsidRDefault="00A35F05" w:rsidP="00A35F05">
      <w:r w:rsidRPr="00AA16A5">
        <w:rPr>
          <w:lang w:val="en-GB"/>
        </w:rPr>
        <w:t xml:space="preserve">I </w:t>
      </w:r>
      <w:proofErr w:type="spellStart"/>
      <w:r w:rsidRPr="00AA16A5">
        <w:rPr>
          <w:lang w:val="en-GB"/>
        </w:rPr>
        <w:t>henhold</w:t>
      </w:r>
      <w:proofErr w:type="spellEnd"/>
      <w:r w:rsidRPr="00AA16A5">
        <w:rPr>
          <w:lang w:val="en-GB"/>
        </w:rPr>
        <w:t xml:space="preserve"> </w:t>
      </w:r>
      <w:proofErr w:type="spellStart"/>
      <w:r w:rsidRPr="00AA16A5">
        <w:rPr>
          <w:lang w:val="en-GB"/>
        </w:rPr>
        <w:t>til</w:t>
      </w:r>
      <w:proofErr w:type="spellEnd"/>
      <w:r w:rsidRPr="00AA16A5">
        <w:rPr>
          <w:lang w:val="en-GB"/>
        </w:rPr>
        <w:t xml:space="preserve"> </w:t>
      </w:r>
      <w:proofErr w:type="spellStart"/>
      <w:r w:rsidRPr="00AA16A5">
        <w:rPr>
          <w:lang w:val="en-GB"/>
        </w:rPr>
        <w:t>artikkel</w:t>
      </w:r>
      <w:proofErr w:type="spellEnd"/>
      <w:r w:rsidRPr="00AA16A5">
        <w:rPr>
          <w:lang w:val="en-GB"/>
        </w:rPr>
        <w:t xml:space="preserve"> 13 </w:t>
      </w:r>
      <w:proofErr w:type="spellStart"/>
      <w:r w:rsidRPr="00AA16A5">
        <w:rPr>
          <w:lang w:val="en-GB"/>
        </w:rPr>
        <w:t>bør</w:t>
      </w:r>
      <w:proofErr w:type="spellEnd"/>
      <w:r w:rsidRPr="00AA16A5">
        <w:rPr>
          <w:lang w:val="en-GB"/>
        </w:rPr>
        <w:t xml:space="preserve"> («should») </w:t>
      </w:r>
      <w:proofErr w:type="spellStart"/>
      <w:r w:rsidRPr="00AA16A5">
        <w:rPr>
          <w:lang w:val="en-GB"/>
        </w:rPr>
        <w:t>overvåkning</w:t>
      </w:r>
      <w:proofErr w:type="spellEnd"/>
      <w:r w:rsidRPr="00AA16A5">
        <w:rPr>
          <w:lang w:val="en-GB"/>
        </w:rPr>
        <w:t xml:space="preserve"> </w:t>
      </w:r>
      <w:proofErr w:type="spellStart"/>
      <w:r w:rsidRPr="00AA16A5">
        <w:rPr>
          <w:lang w:val="en-GB"/>
        </w:rPr>
        <w:t>gjennomføres</w:t>
      </w:r>
      <w:proofErr w:type="spellEnd"/>
      <w:r w:rsidRPr="00AA16A5">
        <w:rPr>
          <w:lang w:val="en-GB"/>
        </w:rPr>
        <w:t xml:space="preserve"> </w:t>
      </w:r>
      <w:proofErr w:type="spellStart"/>
      <w:r w:rsidRPr="00AA16A5">
        <w:rPr>
          <w:lang w:val="en-GB"/>
        </w:rPr>
        <w:t>ved</w:t>
      </w:r>
      <w:proofErr w:type="spellEnd"/>
      <w:r w:rsidRPr="00AA16A5">
        <w:rPr>
          <w:lang w:val="en-GB"/>
        </w:rPr>
        <w:t xml:space="preserve"> «intercepting, wiretapping, sound recording, video recording, photograp</w:t>
      </w:r>
      <w:r w:rsidR="00DD57A8" w:rsidRPr="00AA16A5">
        <w:rPr>
          <w:lang w:val="en-GB"/>
        </w:rPr>
        <w:t>h</w:t>
      </w:r>
      <w:r w:rsidRPr="00AA16A5">
        <w:rPr>
          <w:lang w:val="en-GB"/>
        </w:rPr>
        <w:t xml:space="preserve">ing, opening, checking, copying </w:t>
      </w:r>
      <w:r w:rsidR="00241AA9" w:rsidRPr="00AA16A5">
        <w:rPr>
          <w:lang w:val="en-GB"/>
        </w:rPr>
        <w:t xml:space="preserve">communications </w:t>
      </w:r>
      <w:r w:rsidRPr="00AA16A5">
        <w:rPr>
          <w:lang w:val="en-GB"/>
        </w:rPr>
        <w:t>or other similar necessary methods [</w:t>
      </w:r>
      <w:proofErr w:type="gramStart"/>
      <w:r w:rsidRPr="00AA16A5">
        <w:rPr>
          <w:lang w:val="en-GB"/>
        </w:rPr>
        <w:t>…]»</w:t>
      </w:r>
      <w:proofErr w:type="gramEnd"/>
      <w:r w:rsidRPr="00AA16A5">
        <w:rPr>
          <w:lang w:val="en-GB"/>
        </w:rPr>
        <w:t xml:space="preserve">. </w:t>
      </w:r>
      <w:r w:rsidR="003A5C34" w:rsidRPr="00EE32B6">
        <w:t>CSSA gir ingen klar anvisninger på skillet mellom målrettet overvåkning og såkalt bulk-innsamling av data og hjemlene for dette.</w:t>
      </w:r>
    </w:p>
    <w:p w14:paraId="09FE6D86" w14:textId="5D5EFEEE" w:rsidR="00380E0D" w:rsidRPr="00EE32B6" w:rsidRDefault="008E64AE" w:rsidP="00380E0D">
      <w:pPr>
        <w:pStyle w:val="Overskrift4"/>
        <w:numPr>
          <w:ilvl w:val="2"/>
          <w:numId w:val="6"/>
        </w:numPr>
      </w:pPr>
      <w:r w:rsidRPr="00EE32B6">
        <w:t>Statlig tilgang til overførte data</w:t>
      </w:r>
    </w:p>
    <w:p w14:paraId="00BC62E2" w14:textId="77777777" w:rsidR="00380E0D" w:rsidRPr="00EE32B6" w:rsidRDefault="00380E0D" w:rsidP="00380E0D">
      <w:r w:rsidRPr="00EE32B6">
        <w:t>Overvåkning etter CSSA er ikke begrenset til informasjon om- eller kommunikasjon fra/mellom innbyggere i Taiwan. Etter artikkel 7 kan målet for en bestemt overvåkningsaktivitet være;</w:t>
      </w:r>
    </w:p>
    <w:p w14:paraId="562A2A3A" w14:textId="77777777" w:rsidR="00380E0D" w:rsidRPr="00AA16A5" w:rsidRDefault="00380E0D" w:rsidP="00380E0D">
      <w:pPr>
        <w:pStyle w:val="Listeavsnitt"/>
        <w:numPr>
          <w:ilvl w:val="0"/>
          <w:numId w:val="1"/>
        </w:numPr>
        <w:rPr>
          <w:lang w:val="en-GB"/>
        </w:rPr>
      </w:pPr>
      <w:r w:rsidRPr="00AA16A5">
        <w:rPr>
          <w:lang w:val="en-GB"/>
        </w:rPr>
        <w:t>«Domestic communications of foreign forces, hostile foreign forces, or their agents»,</w:t>
      </w:r>
    </w:p>
    <w:p w14:paraId="2AA2E0C5" w14:textId="77777777" w:rsidR="00380E0D" w:rsidRPr="00AA16A5" w:rsidRDefault="00380E0D" w:rsidP="00380E0D">
      <w:pPr>
        <w:pStyle w:val="Listeavsnitt"/>
        <w:numPr>
          <w:ilvl w:val="0"/>
          <w:numId w:val="1"/>
        </w:numPr>
        <w:rPr>
          <w:lang w:val="en-GB"/>
        </w:rPr>
      </w:pPr>
      <w:r w:rsidRPr="00AA16A5">
        <w:rPr>
          <w:lang w:val="en-GB"/>
        </w:rPr>
        <w:t>«Cross-border communications of foreign forces, hostile foreign forces, or their agents»,</w:t>
      </w:r>
    </w:p>
    <w:p w14:paraId="4595A182" w14:textId="77777777" w:rsidR="00380E0D" w:rsidRPr="00AA16A5" w:rsidRDefault="00380E0D" w:rsidP="00380E0D">
      <w:pPr>
        <w:pStyle w:val="Listeavsnitt"/>
        <w:numPr>
          <w:ilvl w:val="0"/>
          <w:numId w:val="1"/>
        </w:numPr>
        <w:rPr>
          <w:lang w:val="en-GB"/>
        </w:rPr>
      </w:pPr>
      <w:r w:rsidRPr="00AA16A5">
        <w:rPr>
          <w:lang w:val="en-GB"/>
        </w:rPr>
        <w:lastRenderedPageBreak/>
        <w:t>«Off-shore communications of foreign forces, hostile foreign forces, or their agents»</w:t>
      </w:r>
    </w:p>
    <w:p w14:paraId="1861DE0F" w14:textId="77777777" w:rsidR="00380E0D" w:rsidRPr="00EE32B6" w:rsidRDefault="00380E0D" w:rsidP="00380E0D">
      <w:r w:rsidRPr="00EE32B6">
        <w:t>Begrepet «</w:t>
      </w:r>
      <w:proofErr w:type="spellStart"/>
      <w:r w:rsidRPr="00EE32B6">
        <w:t>foreign</w:t>
      </w:r>
      <w:proofErr w:type="spellEnd"/>
      <w:r w:rsidRPr="00EE32B6">
        <w:t xml:space="preserve"> </w:t>
      </w:r>
      <w:proofErr w:type="spellStart"/>
      <w:r w:rsidRPr="00EE32B6">
        <w:t>forces</w:t>
      </w:r>
      <w:proofErr w:type="spellEnd"/>
      <w:r w:rsidRPr="00EE32B6">
        <w:t>» defineres i artikkel 8. Med «</w:t>
      </w:r>
      <w:proofErr w:type="spellStart"/>
      <w:r w:rsidRPr="00EE32B6">
        <w:t>foreign</w:t>
      </w:r>
      <w:proofErr w:type="spellEnd"/>
      <w:r w:rsidRPr="00EE32B6">
        <w:t xml:space="preserve"> </w:t>
      </w:r>
      <w:proofErr w:type="spellStart"/>
      <w:r w:rsidRPr="00EE32B6">
        <w:t>forces</w:t>
      </w:r>
      <w:proofErr w:type="spellEnd"/>
      <w:r w:rsidRPr="00EE32B6">
        <w:t>» menes:</w:t>
      </w:r>
    </w:p>
    <w:p w14:paraId="7D909327" w14:textId="77777777" w:rsidR="00380E0D" w:rsidRPr="003D0A02" w:rsidRDefault="00380E0D" w:rsidP="00380E0D">
      <w:pPr>
        <w:pStyle w:val="Listeavsnitt"/>
        <w:numPr>
          <w:ilvl w:val="0"/>
          <w:numId w:val="1"/>
        </w:numPr>
        <w:rPr>
          <w:lang w:val="en-GB"/>
        </w:rPr>
      </w:pPr>
      <w:r w:rsidRPr="003D0A02">
        <w:rPr>
          <w:lang w:val="en-GB"/>
        </w:rPr>
        <w:t>«Foreign governments, foreign or overseas political entities, their subordinate organizations or representative agencies»</w:t>
      </w:r>
    </w:p>
    <w:p w14:paraId="2E6A37BB" w14:textId="77777777" w:rsidR="00380E0D" w:rsidRPr="003D0A02" w:rsidRDefault="00380E0D" w:rsidP="00380E0D">
      <w:pPr>
        <w:pStyle w:val="Listeavsnitt"/>
        <w:numPr>
          <w:ilvl w:val="0"/>
          <w:numId w:val="1"/>
        </w:numPr>
        <w:rPr>
          <w:lang w:val="en-GB"/>
        </w:rPr>
      </w:pPr>
      <w:r w:rsidRPr="003D0A02">
        <w:rPr>
          <w:lang w:val="en-GB"/>
        </w:rPr>
        <w:t>«Organizations under the direction or control of foreign governments, foreign or overseas political entities»</w:t>
      </w:r>
    </w:p>
    <w:p w14:paraId="3BE8BE73" w14:textId="77777777" w:rsidR="00380E0D" w:rsidRPr="003D0A02" w:rsidRDefault="00380E0D" w:rsidP="00380E0D">
      <w:pPr>
        <w:pStyle w:val="Listeavsnitt"/>
        <w:numPr>
          <w:ilvl w:val="0"/>
          <w:numId w:val="1"/>
        </w:numPr>
        <w:rPr>
          <w:lang w:val="en-GB"/>
        </w:rPr>
      </w:pPr>
      <w:r w:rsidRPr="003D0A02">
        <w:rPr>
          <w:lang w:val="en-GB"/>
        </w:rPr>
        <w:t>«Organizations with the aim of operating international or cross-border terrorist activities»</w:t>
      </w:r>
    </w:p>
    <w:p w14:paraId="6ADF207C" w14:textId="429EDF59" w:rsidR="00380E0D" w:rsidRPr="00662976" w:rsidRDefault="00380E0D" w:rsidP="00380E0D">
      <w:pPr>
        <w:rPr>
          <w:lang w:val="en-GB"/>
        </w:rPr>
      </w:pPr>
      <w:proofErr w:type="spellStart"/>
      <w:r w:rsidRPr="003D0A02">
        <w:rPr>
          <w:lang w:val="en-GB"/>
        </w:rPr>
        <w:t>Begrepet</w:t>
      </w:r>
      <w:proofErr w:type="spellEnd"/>
      <w:r w:rsidRPr="003D0A02">
        <w:rPr>
          <w:lang w:val="en-GB"/>
        </w:rPr>
        <w:t xml:space="preserve"> «agent of foreign forces or offshore hostile forces» </w:t>
      </w:r>
      <w:proofErr w:type="spellStart"/>
      <w:r w:rsidR="00AA4AC0" w:rsidRPr="003D0A02">
        <w:rPr>
          <w:lang w:val="en-GB"/>
        </w:rPr>
        <w:t>d</w:t>
      </w:r>
      <w:r w:rsidR="00850641" w:rsidRPr="003D0A02">
        <w:rPr>
          <w:lang w:val="en-GB"/>
        </w:rPr>
        <w:t>efiner</w:t>
      </w:r>
      <w:r w:rsidR="00AA4AC0">
        <w:rPr>
          <w:lang w:val="en-GB"/>
        </w:rPr>
        <w:t>e</w:t>
      </w:r>
      <w:r w:rsidR="00850641" w:rsidRPr="003D0A02">
        <w:rPr>
          <w:lang w:val="en-GB"/>
        </w:rPr>
        <w:t>s</w:t>
      </w:r>
      <w:proofErr w:type="spellEnd"/>
      <w:r w:rsidRPr="003D0A02">
        <w:rPr>
          <w:lang w:val="en-GB"/>
        </w:rPr>
        <w:t xml:space="preserve"> i </w:t>
      </w:r>
      <w:proofErr w:type="spellStart"/>
      <w:r w:rsidRPr="003D0A02">
        <w:rPr>
          <w:lang w:val="en-GB"/>
        </w:rPr>
        <w:t>artikkel</w:t>
      </w:r>
      <w:proofErr w:type="spellEnd"/>
      <w:r w:rsidRPr="003D0A02">
        <w:rPr>
          <w:lang w:val="en-GB"/>
        </w:rPr>
        <w:t xml:space="preserve"> 9</w:t>
      </w:r>
      <w:r w:rsidR="00AA4AC0">
        <w:rPr>
          <w:lang w:val="en-GB"/>
        </w:rPr>
        <w:t xml:space="preserve"> </w:t>
      </w:r>
      <w:proofErr w:type="spellStart"/>
      <w:r w:rsidR="00AA4AC0">
        <w:rPr>
          <w:lang w:val="en-GB"/>
        </w:rPr>
        <w:t>som</w:t>
      </w:r>
      <w:proofErr w:type="spellEnd"/>
      <w:r w:rsidRPr="00662976">
        <w:rPr>
          <w:lang w:val="en-GB"/>
        </w:rPr>
        <w:t>:</w:t>
      </w:r>
    </w:p>
    <w:p w14:paraId="0CEE25AB" w14:textId="77777777" w:rsidR="00380E0D" w:rsidRPr="00662976" w:rsidRDefault="00380E0D" w:rsidP="00380E0D">
      <w:pPr>
        <w:pStyle w:val="Listeavsnitt"/>
        <w:numPr>
          <w:ilvl w:val="0"/>
          <w:numId w:val="1"/>
        </w:numPr>
        <w:rPr>
          <w:lang w:val="en-GB"/>
        </w:rPr>
      </w:pPr>
      <w:r w:rsidRPr="00662976">
        <w:rPr>
          <w:lang w:val="en-GB"/>
        </w:rPr>
        <w:t xml:space="preserve">«A person who participates, coerces others, or abets others in gathering secret intelligence, or other secret intelligence activities for foreign forces or offshore hostile forces, that risk endangering national </w:t>
      </w:r>
      <w:proofErr w:type="gramStart"/>
      <w:r w:rsidRPr="00662976">
        <w:rPr>
          <w:lang w:val="en-GB"/>
        </w:rPr>
        <w:t>security.»</w:t>
      </w:r>
      <w:proofErr w:type="gramEnd"/>
    </w:p>
    <w:p w14:paraId="2727C4E6" w14:textId="77777777" w:rsidR="00380E0D" w:rsidRPr="00662976" w:rsidRDefault="00380E0D" w:rsidP="00380E0D">
      <w:pPr>
        <w:pStyle w:val="Listeavsnitt"/>
        <w:numPr>
          <w:ilvl w:val="0"/>
          <w:numId w:val="1"/>
        </w:numPr>
        <w:rPr>
          <w:lang w:val="en-GB"/>
        </w:rPr>
      </w:pPr>
      <w:r w:rsidRPr="00662976">
        <w:rPr>
          <w:lang w:val="en-GB"/>
        </w:rPr>
        <w:t>«A person who participates, coerces others, or abets others in sabotage or cross-border terrorist activities for foreign forces or offshore hostile forces.</w:t>
      </w:r>
    </w:p>
    <w:p w14:paraId="54738591" w14:textId="405707CE" w:rsidR="00380E0D" w:rsidRPr="00662976" w:rsidRDefault="00380E0D" w:rsidP="00D2621B">
      <w:pPr>
        <w:pStyle w:val="Listeavsnitt"/>
        <w:numPr>
          <w:ilvl w:val="0"/>
          <w:numId w:val="1"/>
        </w:numPr>
        <w:rPr>
          <w:lang w:val="en-GB"/>
        </w:rPr>
      </w:pPr>
      <w:r w:rsidRPr="00662976">
        <w:rPr>
          <w:lang w:val="en-GB"/>
        </w:rPr>
        <w:t xml:space="preserve">«A person who serves as an official, or an employee for foreign forces or offshore hostile forces, or as a member of an international terrorist </w:t>
      </w:r>
      <w:proofErr w:type="gramStart"/>
      <w:r w:rsidRPr="00662976">
        <w:rPr>
          <w:lang w:val="en-GB"/>
        </w:rPr>
        <w:t>organization.»</w:t>
      </w:r>
      <w:proofErr w:type="gramEnd"/>
    </w:p>
    <w:p w14:paraId="4A05234B" w14:textId="65D3476B" w:rsidR="00FB2036" w:rsidRPr="00EE32B6" w:rsidRDefault="00FB2036" w:rsidP="00FB2036">
      <w:pPr>
        <w:pStyle w:val="Overskrift4"/>
        <w:numPr>
          <w:ilvl w:val="2"/>
          <w:numId w:val="6"/>
        </w:numPr>
      </w:pPr>
      <w:r w:rsidRPr="00EE32B6">
        <w:t>Lov</w:t>
      </w:r>
      <w:r w:rsidR="00575DF2" w:rsidRPr="00EE32B6">
        <w:t>lig behandlingsgrunnlag</w:t>
      </w:r>
    </w:p>
    <w:p w14:paraId="2B11FC26" w14:textId="414E167B" w:rsidR="00F57C3D" w:rsidRPr="00662976" w:rsidRDefault="00FB2036" w:rsidP="00F57C3D">
      <w:pPr>
        <w:rPr>
          <w:lang w:val="en-GB"/>
        </w:rPr>
      </w:pPr>
      <w:r w:rsidRPr="00EE32B6">
        <w:t xml:space="preserve">Overvåkning etter CSSA krever at flere rettslig vilkår er oppfylt. </w:t>
      </w:r>
      <w:r w:rsidRPr="004979B1">
        <w:t xml:space="preserve">Etter artikkel 5 (1) i CSSA følger det </w:t>
      </w:r>
      <w:r w:rsidR="00F57C3D" w:rsidRPr="004979B1">
        <w:t xml:space="preserve">overvåkningen være rettet mot «communications», eller «communications records». </w:t>
      </w:r>
      <w:r w:rsidR="00F57C3D" w:rsidRPr="00662976">
        <w:rPr>
          <w:lang w:val="en-GB"/>
        </w:rPr>
        <w:t xml:space="preserve">Med «communications» </w:t>
      </w:r>
      <w:proofErr w:type="spellStart"/>
      <w:r w:rsidR="00F57C3D" w:rsidRPr="00662976">
        <w:rPr>
          <w:lang w:val="en-GB"/>
        </w:rPr>
        <w:t>menes</w:t>
      </w:r>
      <w:proofErr w:type="spellEnd"/>
      <w:r w:rsidR="00F57C3D" w:rsidRPr="00662976">
        <w:rPr>
          <w:lang w:val="en-GB"/>
        </w:rPr>
        <w:t xml:space="preserve"> «[u]</w:t>
      </w:r>
      <w:proofErr w:type="spellStart"/>
      <w:r w:rsidR="00F57C3D" w:rsidRPr="00662976">
        <w:rPr>
          <w:lang w:val="en-GB"/>
        </w:rPr>
        <w:t>tilizing</w:t>
      </w:r>
      <w:proofErr w:type="spellEnd"/>
      <w:r w:rsidR="00F57C3D" w:rsidRPr="00662976">
        <w:rPr>
          <w:lang w:val="en-GB"/>
        </w:rPr>
        <w:t xml:space="preserve"> wired and wireless telecommunication equipment to send, store, transmit, or receive symbols, texts, images, sound or other types of information» </w:t>
      </w:r>
      <w:proofErr w:type="spellStart"/>
      <w:r w:rsidR="00F57C3D" w:rsidRPr="00662976">
        <w:rPr>
          <w:lang w:val="en-GB"/>
        </w:rPr>
        <w:t>jf</w:t>
      </w:r>
      <w:proofErr w:type="spellEnd"/>
      <w:r w:rsidR="00F57C3D" w:rsidRPr="00662976">
        <w:rPr>
          <w:lang w:val="en-GB"/>
        </w:rPr>
        <w:t xml:space="preserve">. </w:t>
      </w:r>
      <w:proofErr w:type="spellStart"/>
      <w:r w:rsidR="00F57C3D" w:rsidRPr="00662976">
        <w:rPr>
          <w:lang w:val="en-GB"/>
        </w:rPr>
        <w:t>artikkel</w:t>
      </w:r>
      <w:proofErr w:type="spellEnd"/>
      <w:r w:rsidR="00F57C3D" w:rsidRPr="00662976">
        <w:rPr>
          <w:lang w:val="en-GB"/>
        </w:rPr>
        <w:t xml:space="preserve"> 3 nr.</w:t>
      </w:r>
      <w:r w:rsidR="005B5A99" w:rsidRPr="00662976">
        <w:rPr>
          <w:lang w:val="en-GB"/>
        </w:rPr>
        <w:t xml:space="preserve"> </w:t>
      </w:r>
      <w:r w:rsidR="00F57C3D" w:rsidRPr="00662976">
        <w:rPr>
          <w:lang w:val="en-GB"/>
        </w:rPr>
        <w:t xml:space="preserve">1. Her </w:t>
      </w:r>
      <w:proofErr w:type="spellStart"/>
      <w:r w:rsidR="00F57C3D" w:rsidRPr="00662976">
        <w:rPr>
          <w:lang w:val="en-GB"/>
        </w:rPr>
        <w:t>inkluderes</w:t>
      </w:r>
      <w:proofErr w:type="spellEnd"/>
      <w:r w:rsidR="00F57C3D" w:rsidRPr="00662976">
        <w:rPr>
          <w:lang w:val="en-GB"/>
        </w:rPr>
        <w:t xml:space="preserve"> </w:t>
      </w:r>
      <w:proofErr w:type="spellStart"/>
      <w:r w:rsidR="00F57C3D" w:rsidRPr="00662976">
        <w:rPr>
          <w:lang w:val="en-GB"/>
        </w:rPr>
        <w:t>også</w:t>
      </w:r>
      <w:proofErr w:type="spellEnd"/>
      <w:r w:rsidR="00F57C3D" w:rsidRPr="00662976">
        <w:rPr>
          <w:lang w:val="en-GB"/>
        </w:rPr>
        <w:t xml:space="preserve"> post og </w:t>
      </w:r>
      <w:proofErr w:type="spellStart"/>
      <w:r w:rsidR="00F57C3D" w:rsidRPr="00662976">
        <w:rPr>
          <w:lang w:val="en-GB"/>
        </w:rPr>
        <w:t>brev</w:t>
      </w:r>
      <w:proofErr w:type="spellEnd"/>
      <w:r w:rsidR="00F57C3D" w:rsidRPr="00662976">
        <w:rPr>
          <w:lang w:val="en-GB"/>
        </w:rPr>
        <w:t xml:space="preserve"> («Mail and letters»), </w:t>
      </w:r>
      <w:proofErr w:type="spellStart"/>
      <w:r w:rsidR="00F57C3D" w:rsidRPr="00662976">
        <w:rPr>
          <w:lang w:val="en-GB"/>
        </w:rPr>
        <w:t>samt</w:t>
      </w:r>
      <w:proofErr w:type="spellEnd"/>
      <w:r w:rsidR="00F57C3D" w:rsidRPr="00662976">
        <w:rPr>
          <w:lang w:val="en-GB"/>
        </w:rPr>
        <w:t xml:space="preserve"> tale og </w:t>
      </w:r>
      <w:proofErr w:type="spellStart"/>
      <w:r w:rsidR="00F57C3D" w:rsidRPr="00662976">
        <w:rPr>
          <w:lang w:val="en-GB"/>
        </w:rPr>
        <w:t>samtaler</w:t>
      </w:r>
      <w:proofErr w:type="spellEnd"/>
      <w:r w:rsidR="00F57C3D" w:rsidRPr="00662976">
        <w:rPr>
          <w:lang w:val="en-GB"/>
        </w:rPr>
        <w:t xml:space="preserve"> («Speeches and conversations») </w:t>
      </w:r>
      <w:proofErr w:type="spellStart"/>
      <w:r w:rsidR="00F57C3D" w:rsidRPr="00662976">
        <w:rPr>
          <w:lang w:val="en-GB"/>
        </w:rPr>
        <w:t>jf</w:t>
      </w:r>
      <w:proofErr w:type="spellEnd"/>
      <w:r w:rsidR="00F57C3D" w:rsidRPr="00662976">
        <w:rPr>
          <w:lang w:val="en-GB"/>
        </w:rPr>
        <w:t>. nr.</w:t>
      </w:r>
      <w:r w:rsidR="005B5A99" w:rsidRPr="00662976">
        <w:rPr>
          <w:lang w:val="en-GB"/>
        </w:rPr>
        <w:t xml:space="preserve"> </w:t>
      </w:r>
      <w:r w:rsidR="00F57C3D" w:rsidRPr="00662976">
        <w:rPr>
          <w:lang w:val="en-GB"/>
        </w:rPr>
        <w:t>2 og nr.</w:t>
      </w:r>
      <w:r w:rsidR="005B5A99" w:rsidRPr="00662976">
        <w:rPr>
          <w:lang w:val="en-GB"/>
        </w:rPr>
        <w:t xml:space="preserve"> </w:t>
      </w:r>
      <w:r w:rsidR="00F57C3D" w:rsidRPr="00662976">
        <w:rPr>
          <w:lang w:val="en-GB"/>
        </w:rPr>
        <w:t>3.</w:t>
      </w:r>
      <w:r w:rsidR="006464A2" w:rsidRPr="00662976">
        <w:rPr>
          <w:lang w:val="en-GB"/>
        </w:rPr>
        <w:t xml:space="preserve"> Med </w:t>
      </w:r>
      <w:r w:rsidR="00F57C3D" w:rsidRPr="00662976">
        <w:rPr>
          <w:lang w:val="en-GB"/>
        </w:rPr>
        <w:t xml:space="preserve">«communications records» </w:t>
      </w:r>
      <w:proofErr w:type="spellStart"/>
      <w:r w:rsidR="006464A2" w:rsidRPr="00662976">
        <w:rPr>
          <w:lang w:val="en-GB"/>
        </w:rPr>
        <w:t>menes</w:t>
      </w:r>
      <w:proofErr w:type="spellEnd"/>
      <w:r w:rsidR="006464A2" w:rsidRPr="00662976">
        <w:rPr>
          <w:lang w:val="en-GB"/>
        </w:rPr>
        <w:t xml:space="preserve"> </w:t>
      </w:r>
      <w:proofErr w:type="spellStart"/>
      <w:r w:rsidR="000B73E6" w:rsidRPr="00662976">
        <w:rPr>
          <w:lang w:val="en-GB"/>
        </w:rPr>
        <w:t>datatyper</w:t>
      </w:r>
      <w:proofErr w:type="spellEnd"/>
      <w:r w:rsidR="000B73E6" w:rsidRPr="00662976">
        <w:rPr>
          <w:lang w:val="en-GB"/>
        </w:rPr>
        <w:t xml:space="preserve"> </w:t>
      </w:r>
      <w:proofErr w:type="spellStart"/>
      <w:r w:rsidR="000B73E6" w:rsidRPr="00662976">
        <w:rPr>
          <w:lang w:val="en-GB"/>
        </w:rPr>
        <w:t>som</w:t>
      </w:r>
      <w:proofErr w:type="spellEnd"/>
      <w:r w:rsidR="000B73E6" w:rsidRPr="00662976">
        <w:rPr>
          <w:lang w:val="en-GB"/>
        </w:rPr>
        <w:t xml:space="preserve"> </w:t>
      </w:r>
      <w:proofErr w:type="spellStart"/>
      <w:r w:rsidR="000B73E6" w:rsidRPr="00662976">
        <w:rPr>
          <w:lang w:val="en-GB"/>
        </w:rPr>
        <w:t>m</w:t>
      </w:r>
      <w:r w:rsidR="00AA4AC0">
        <w:rPr>
          <w:lang w:val="en-GB"/>
        </w:rPr>
        <w:t>a</w:t>
      </w:r>
      <w:r w:rsidR="000B73E6" w:rsidRPr="00662976">
        <w:rPr>
          <w:lang w:val="en-GB"/>
        </w:rPr>
        <w:t>sterdata</w:t>
      </w:r>
      <w:proofErr w:type="spellEnd"/>
      <w:r w:rsidR="000B73E6" w:rsidRPr="00662976">
        <w:rPr>
          <w:lang w:val="en-GB"/>
        </w:rPr>
        <w:t xml:space="preserve"> og</w:t>
      </w:r>
      <w:r w:rsidR="00F57C3D" w:rsidRPr="00662976">
        <w:rPr>
          <w:lang w:val="en-GB"/>
        </w:rPr>
        <w:t xml:space="preserve"> metadata. </w:t>
      </w:r>
      <w:r w:rsidR="000B73E6" w:rsidRPr="00662976">
        <w:rPr>
          <w:lang w:val="en-GB"/>
        </w:rPr>
        <w:t xml:space="preserve">I </w:t>
      </w:r>
      <w:proofErr w:type="spellStart"/>
      <w:r w:rsidR="00F57C3D" w:rsidRPr="00662976">
        <w:rPr>
          <w:lang w:val="en-GB"/>
        </w:rPr>
        <w:t>artikkel</w:t>
      </w:r>
      <w:proofErr w:type="spellEnd"/>
      <w:r w:rsidR="00F57C3D" w:rsidRPr="00662976">
        <w:rPr>
          <w:lang w:val="en-GB"/>
        </w:rPr>
        <w:t xml:space="preserve"> 3-1 </w:t>
      </w:r>
      <w:proofErr w:type="spellStart"/>
      <w:r w:rsidR="005C2257" w:rsidRPr="00662976">
        <w:rPr>
          <w:lang w:val="en-GB"/>
        </w:rPr>
        <w:t>beskrives</w:t>
      </w:r>
      <w:proofErr w:type="spellEnd"/>
      <w:r w:rsidR="005C2257" w:rsidRPr="00662976">
        <w:rPr>
          <w:lang w:val="en-GB"/>
        </w:rPr>
        <w:t xml:space="preserve"> </w:t>
      </w:r>
      <w:proofErr w:type="spellStart"/>
      <w:r w:rsidR="005C2257" w:rsidRPr="00662976">
        <w:rPr>
          <w:lang w:val="en-GB"/>
        </w:rPr>
        <w:t>dette</w:t>
      </w:r>
      <w:proofErr w:type="spellEnd"/>
      <w:r w:rsidR="005C2257" w:rsidRPr="00662976">
        <w:rPr>
          <w:lang w:val="en-GB"/>
        </w:rPr>
        <w:t xml:space="preserve"> </w:t>
      </w:r>
      <w:proofErr w:type="spellStart"/>
      <w:r w:rsidR="005C2257" w:rsidRPr="00662976">
        <w:rPr>
          <w:lang w:val="en-GB"/>
        </w:rPr>
        <w:t>som</w:t>
      </w:r>
      <w:proofErr w:type="spellEnd"/>
      <w:r w:rsidR="005C2257" w:rsidRPr="00662976">
        <w:rPr>
          <w:lang w:val="en-GB"/>
        </w:rPr>
        <w:t xml:space="preserve"> </w:t>
      </w:r>
      <w:proofErr w:type="gramStart"/>
      <w:r w:rsidR="00F57C3D" w:rsidRPr="00662976">
        <w:rPr>
          <w:lang w:val="en-GB"/>
        </w:rPr>
        <w:t>«[</w:t>
      </w:r>
      <w:proofErr w:type="gramEnd"/>
      <w:r w:rsidR="00F57C3D" w:rsidRPr="00662976">
        <w:rPr>
          <w:lang w:val="en-GB"/>
        </w:rPr>
        <w:t xml:space="preserve">…] records such as the telecommunications numbers of the sender and the recipient, time of communication, length of use, address, service type, mailbox or location information generated by the telecommunications system after the telecommunications user uses the telecommunications services.». </w:t>
      </w:r>
    </w:p>
    <w:p w14:paraId="238B036C" w14:textId="4215A2A2" w:rsidR="00D76C20" w:rsidRPr="00EE32B6" w:rsidRDefault="00F57C3D" w:rsidP="00F57C3D">
      <w:r w:rsidRPr="00EE32B6">
        <w:t>Etter ordlyden i artikkel 5 omfatter CSSA det meste av data som naturlig faller inn under begrepet kommunikasjon, herunder både digital og analog kommunikasjon.</w:t>
      </w:r>
      <w:r w:rsidR="00990E16" w:rsidRPr="00EE32B6">
        <w:t xml:space="preserve"> </w:t>
      </w:r>
      <w:r w:rsidRPr="00EE32B6">
        <w:t xml:space="preserve">Hjemmel og autorisasjon til overvåkning gis kun i saker som er av en strafferettslig karakter eller som er straffebelagt etter </w:t>
      </w:r>
      <w:r w:rsidR="000C61A0">
        <w:t>t</w:t>
      </w:r>
      <w:r w:rsidRPr="00EE32B6">
        <w:t>aiwansk lov.</w:t>
      </w:r>
      <w:r w:rsidRPr="00EE32B6">
        <w:rPr>
          <w:rStyle w:val="Fotnotereferanse"/>
        </w:rPr>
        <w:footnoteReference w:id="12"/>
      </w:r>
      <w:r w:rsidRPr="00EE32B6">
        <w:t xml:space="preserve"> </w:t>
      </w:r>
    </w:p>
    <w:p w14:paraId="0F22F21A" w14:textId="77777777" w:rsidR="00F40A5A" w:rsidRPr="00EE32B6" w:rsidRDefault="00F40A5A" w:rsidP="00F40A5A">
      <w:pPr>
        <w:pStyle w:val="Overskrift4"/>
        <w:numPr>
          <w:ilvl w:val="2"/>
          <w:numId w:val="6"/>
        </w:numPr>
      </w:pPr>
      <w:r w:rsidRPr="00EE32B6">
        <w:t>Prinsipper, rettigheter og øvrige begrensinger</w:t>
      </w:r>
    </w:p>
    <w:p w14:paraId="288FF9EC" w14:textId="238A928B" w:rsidR="00BD57DF" w:rsidRPr="00662976" w:rsidRDefault="00F40A5A" w:rsidP="00F40A5A">
      <w:pPr>
        <w:rPr>
          <w:lang w:val="en-GB"/>
        </w:rPr>
      </w:pPr>
      <w:proofErr w:type="spellStart"/>
      <w:r w:rsidRPr="00662976">
        <w:rPr>
          <w:lang w:val="en-GB"/>
        </w:rPr>
        <w:t>Overvåkningen</w:t>
      </w:r>
      <w:proofErr w:type="spellEnd"/>
      <w:r w:rsidRPr="00662976">
        <w:rPr>
          <w:lang w:val="en-GB"/>
        </w:rPr>
        <w:t xml:space="preserve"> </w:t>
      </w:r>
      <w:proofErr w:type="spellStart"/>
      <w:r w:rsidRPr="00662976">
        <w:rPr>
          <w:lang w:val="en-GB"/>
        </w:rPr>
        <w:t>må</w:t>
      </w:r>
      <w:proofErr w:type="spellEnd"/>
      <w:r w:rsidRPr="00662976">
        <w:rPr>
          <w:lang w:val="en-GB"/>
        </w:rPr>
        <w:t xml:space="preserve"> </w:t>
      </w:r>
      <w:proofErr w:type="spellStart"/>
      <w:r w:rsidRPr="00662976">
        <w:rPr>
          <w:lang w:val="en-GB"/>
        </w:rPr>
        <w:t>være</w:t>
      </w:r>
      <w:proofErr w:type="spellEnd"/>
      <w:r w:rsidRPr="00662976">
        <w:rPr>
          <w:lang w:val="en-GB"/>
        </w:rPr>
        <w:t xml:space="preserve"> </w:t>
      </w:r>
      <w:proofErr w:type="spellStart"/>
      <w:r w:rsidRPr="00662976">
        <w:rPr>
          <w:lang w:val="en-GB"/>
        </w:rPr>
        <w:t>nødvendig</w:t>
      </w:r>
      <w:proofErr w:type="spellEnd"/>
      <w:r w:rsidRPr="00662976">
        <w:rPr>
          <w:lang w:val="en-GB"/>
        </w:rPr>
        <w:t xml:space="preserve"> og </w:t>
      </w:r>
      <w:proofErr w:type="spellStart"/>
      <w:r w:rsidRPr="00662976">
        <w:rPr>
          <w:lang w:val="en-GB"/>
        </w:rPr>
        <w:t>forholdsmessig</w:t>
      </w:r>
      <w:proofErr w:type="spellEnd"/>
      <w:r w:rsidRPr="00662976">
        <w:rPr>
          <w:lang w:val="en-GB"/>
        </w:rPr>
        <w:t xml:space="preserve">. Etter </w:t>
      </w:r>
      <w:proofErr w:type="spellStart"/>
      <w:r w:rsidRPr="00662976">
        <w:rPr>
          <w:lang w:val="en-GB"/>
        </w:rPr>
        <w:t>artikkel</w:t>
      </w:r>
      <w:proofErr w:type="spellEnd"/>
      <w:r w:rsidRPr="00662976">
        <w:rPr>
          <w:lang w:val="en-GB"/>
        </w:rPr>
        <w:t xml:space="preserve"> 2 </w:t>
      </w:r>
      <w:proofErr w:type="spellStart"/>
      <w:r w:rsidRPr="00662976">
        <w:rPr>
          <w:lang w:val="en-GB"/>
        </w:rPr>
        <w:t>følger</w:t>
      </w:r>
      <w:proofErr w:type="spellEnd"/>
      <w:r w:rsidRPr="00662976">
        <w:rPr>
          <w:lang w:val="en-GB"/>
        </w:rPr>
        <w:t xml:space="preserve"> det at: «The surveillance mentioned in the preceding Paragraph shall not exceed the necessary limits to achieve the objective, and the appropriate methods for the action should have only the minimum intrusion.».</w:t>
      </w:r>
    </w:p>
    <w:p w14:paraId="0CC3871F" w14:textId="7EC1CA14" w:rsidR="00A35F05" w:rsidRPr="00EE32B6" w:rsidRDefault="00DF2D02" w:rsidP="00A35F05">
      <w:pPr>
        <w:pStyle w:val="Overskrift4"/>
        <w:numPr>
          <w:ilvl w:val="2"/>
          <w:numId w:val="6"/>
        </w:numPr>
      </w:pPr>
      <w:r w:rsidRPr="00EE32B6">
        <w:t>Håndheving, kontroll og prøving av rettigheter</w:t>
      </w:r>
    </w:p>
    <w:p w14:paraId="26796B89" w14:textId="5DAA8E2D" w:rsidR="00F40A5A" w:rsidRPr="00EE32B6" w:rsidRDefault="00710456" w:rsidP="00F40A5A">
      <w:r w:rsidRPr="00EE32B6">
        <w:t>Etter artikkel 5 (2) følger det videre at ingen overvåking kan igangsettes uten godkjenning, eller uten en «</w:t>
      </w:r>
      <w:proofErr w:type="spellStart"/>
      <w:r w:rsidRPr="00EE32B6">
        <w:t>interception</w:t>
      </w:r>
      <w:proofErr w:type="spellEnd"/>
      <w:r w:rsidRPr="00EE32B6">
        <w:t xml:space="preserve"> </w:t>
      </w:r>
      <w:proofErr w:type="spellStart"/>
      <w:r w:rsidRPr="00EE32B6">
        <w:t>warrant</w:t>
      </w:r>
      <w:proofErr w:type="spellEnd"/>
      <w:r w:rsidRPr="00EE32B6">
        <w:t>», fra «</w:t>
      </w:r>
      <w:proofErr w:type="spellStart"/>
      <w:r w:rsidRPr="00EE32B6">
        <w:t>the</w:t>
      </w:r>
      <w:proofErr w:type="spellEnd"/>
      <w:r w:rsidRPr="00EE32B6">
        <w:t xml:space="preserve"> </w:t>
      </w:r>
      <w:proofErr w:type="spellStart"/>
      <w:r w:rsidRPr="00EE32B6">
        <w:t>court</w:t>
      </w:r>
      <w:proofErr w:type="spellEnd"/>
      <w:r w:rsidRPr="00EE32B6">
        <w:t>». Det er ikke klart hvilken domstol eller aktør med domstolsmyndighet som begrepet «</w:t>
      </w:r>
      <w:proofErr w:type="spellStart"/>
      <w:r w:rsidRPr="00EE32B6">
        <w:t>the</w:t>
      </w:r>
      <w:proofErr w:type="spellEnd"/>
      <w:r w:rsidRPr="00EE32B6">
        <w:t xml:space="preserve"> </w:t>
      </w:r>
      <w:proofErr w:type="spellStart"/>
      <w:r w:rsidRPr="00EE32B6">
        <w:t>court</w:t>
      </w:r>
      <w:proofErr w:type="spellEnd"/>
      <w:r w:rsidRPr="00EE32B6">
        <w:t xml:space="preserve">» henviser til. </w:t>
      </w:r>
      <w:r w:rsidR="00C44EC4">
        <w:t xml:space="preserve">Det kan likevel antas at dette gjelder samtlige alminnelige domstoler i Taiwan som har kompetanse til å avsi dommer på strafferettens område. </w:t>
      </w:r>
      <w:r w:rsidR="00966843">
        <w:t>Mer om domstolskontroll under punkt 4.</w:t>
      </w:r>
      <w:r w:rsidR="00F40A5A" w:rsidRPr="00EE32B6">
        <w:br/>
      </w:r>
    </w:p>
    <w:p w14:paraId="64E9691D" w14:textId="77777777" w:rsidR="00F57C3D" w:rsidRPr="00241913" w:rsidRDefault="00F57C3D" w:rsidP="00241913">
      <w:pPr>
        <w:pStyle w:val="Overskrift3"/>
        <w:rPr>
          <w:lang w:val="en-GB"/>
        </w:rPr>
      </w:pPr>
      <w:bookmarkStart w:id="27" w:name="_Toc161830931"/>
      <w:bookmarkStart w:id="28" w:name="_Toc161830980"/>
      <w:bookmarkStart w:id="29" w:name="_Toc161830932"/>
      <w:bookmarkStart w:id="30" w:name="_Toc161830981"/>
      <w:bookmarkStart w:id="31" w:name="_Toc161830933"/>
      <w:bookmarkStart w:id="32" w:name="_Toc161830982"/>
      <w:bookmarkStart w:id="33" w:name="_Toc161830934"/>
      <w:bookmarkStart w:id="34" w:name="_Toc161830983"/>
      <w:bookmarkStart w:id="35" w:name="_Toc161830935"/>
      <w:bookmarkStart w:id="36" w:name="_Toc161830984"/>
      <w:bookmarkStart w:id="37" w:name="_Toc161830936"/>
      <w:bookmarkStart w:id="38" w:name="_Toc161830985"/>
      <w:bookmarkStart w:id="39" w:name="_Ref161748168"/>
      <w:bookmarkStart w:id="40" w:name="_Toc175831468"/>
      <w:bookmarkEnd w:id="27"/>
      <w:bookmarkEnd w:id="28"/>
      <w:bookmarkEnd w:id="29"/>
      <w:bookmarkEnd w:id="30"/>
      <w:bookmarkEnd w:id="31"/>
      <w:bookmarkEnd w:id="32"/>
      <w:bookmarkEnd w:id="33"/>
      <w:bookmarkEnd w:id="34"/>
      <w:bookmarkEnd w:id="35"/>
      <w:bookmarkEnd w:id="36"/>
      <w:bookmarkEnd w:id="37"/>
      <w:bookmarkEnd w:id="38"/>
      <w:r w:rsidRPr="00241913">
        <w:rPr>
          <w:lang w:val="en-GB"/>
        </w:rPr>
        <w:lastRenderedPageBreak/>
        <w:t>Telecommunications Act og Telecommunications Management Act</w:t>
      </w:r>
      <w:bookmarkEnd w:id="39"/>
      <w:bookmarkEnd w:id="40"/>
    </w:p>
    <w:p w14:paraId="661FDE56" w14:textId="6F48299B" w:rsidR="006B6522" w:rsidRPr="00EE32B6" w:rsidRDefault="006B6522" w:rsidP="006B6522">
      <w:pPr>
        <w:pStyle w:val="Overskrift4"/>
        <w:numPr>
          <w:ilvl w:val="2"/>
          <w:numId w:val="6"/>
        </w:numPr>
      </w:pPr>
      <w:r w:rsidRPr="00EE32B6">
        <w:t>Lovenes materielle virkeområde</w:t>
      </w:r>
    </w:p>
    <w:p w14:paraId="7E60FADA" w14:textId="2E8C6B33" w:rsidR="00F57C3D" w:rsidRPr="00EE32B6" w:rsidRDefault="00F57C3D" w:rsidP="00F57C3D">
      <w:r w:rsidRPr="00EE32B6">
        <w:t xml:space="preserve">Telecommunications </w:t>
      </w:r>
      <w:proofErr w:type="spellStart"/>
      <w:r w:rsidRPr="00EE32B6">
        <w:t>Act</w:t>
      </w:r>
      <w:proofErr w:type="spellEnd"/>
      <w:r w:rsidRPr="00EE32B6">
        <w:t xml:space="preserve"> (</w:t>
      </w:r>
      <w:r w:rsidR="00AA4AC0">
        <w:t>"</w:t>
      </w:r>
      <w:r w:rsidRPr="00241913">
        <w:rPr>
          <w:b/>
          <w:bCs/>
        </w:rPr>
        <w:t>TA</w:t>
      </w:r>
      <w:r w:rsidR="00AA4AC0">
        <w:t>"</w:t>
      </w:r>
      <w:r w:rsidRPr="00EE32B6">
        <w:t xml:space="preserve">) trådte i kraft i 1996, men er senere erstattet med Telecommunications Management </w:t>
      </w:r>
      <w:proofErr w:type="spellStart"/>
      <w:r w:rsidRPr="00EE32B6">
        <w:t>Act</w:t>
      </w:r>
      <w:proofErr w:type="spellEnd"/>
      <w:r w:rsidRPr="00EE32B6">
        <w:t xml:space="preserve"> (</w:t>
      </w:r>
      <w:r w:rsidR="00AA4AC0">
        <w:t>"</w:t>
      </w:r>
      <w:r w:rsidRPr="00241913">
        <w:rPr>
          <w:b/>
          <w:bCs/>
        </w:rPr>
        <w:t>TMA</w:t>
      </w:r>
      <w:r w:rsidR="00AA4AC0">
        <w:t>"</w:t>
      </w:r>
      <w:r w:rsidRPr="00EE32B6">
        <w:t>) i juli 2020.</w:t>
      </w:r>
      <w:r w:rsidRPr="00EE32B6">
        <w:rPr>
          <w:rStyle w:val="Fotnotereferanse"/>
        </w:rPr>
        <w:footnoteReference w:id="13"/>
      </w:r>
      <w:r w:rsidRPr="00EE32B6">
        <w:t xml:space="preserve"> Regelverkets formål </w:t>
      </w:r>
      <w:r w:rsidR="00952BB3">
        <w:t>var</w:t>
      </w:r>
      <w:r w:rsidRPr="00EE32B6">
        <w:t xml:space="preserve"> å sikre trygg utvikling av telekommunikasjon, fremme offentlig velferd, sikre beskyttelsen av kommunikasjon, samt å verne rettighetene og interessene til brukere av telekommunikasjonstjenester i Taiwan. </w:t>
      </w:r>
      <w:r w:rsidRPr="00EE32B6">
        <w:rPr>
          <w:rStyle w:val="Fotnotereferanse"/>
        </w:rPr>
        <w:footnoteReference w:id="14"/>
      </w:r>
    </w:p>
    <w:p w14:paraId="69847D2C" w14:textId="5BFFBBD0" w:rsidR="00F57C3D" w:rsidRPr="00EE32B6" w:rsidRDefault="00F57C3D" w:rsidP="00F57C3D">
      <w:r w:rsidRPr="00EE32B6">
        <w:t>TMA viderefører og utvider T</w:t>
      </w:r>
      <w:r w:rsidR="00B424EC" w:rsidRPr="00EE32B6">
        <w:t>A</w:t>
      </w:r>
      <w:r w:rsidRPr="00EE32B6">
        <w:t>s formålsbestemmelse. Dette gjelder også store deler av TA</w:t>
      </w:r>
      <w:r w:rsidR="004D6778" w:rsidRPr="00EE32B6">
        <w:t>s</w:t>
      </w:r>
      <w:r w:rsidRPr="00EE32B6">
        <w:t xml:space="preserve"> øvrige bestemmelser. </w:t>
      </w:r>
      <w:r w:rsidR="009F076D" w:rsidRPr="00EE32B6">
        <w:t>Til t</w:t>
      </w:r>
      <w:r w:rsidRPr="00EE32B6">
        <w:t>ross</w:t>
      </w:r>
      <w:r w:rsidR="009F076D" w:rsidRPr="00EE32B6">
        <w:t xml:space="preserve"> for</w:t>
      </w:r>
      <w:r w:rsidRPr="00EE32B6">
        <w:t xml:space="preserve"> stor grad av videreføring, må inntoget av TMA regnes som en betydelig lovendring i Taiwan. Av interesse for prosjektet er det særlig endringer i hjemlene for utleveringsbegjæringer fra statlige aktører i TA.</w:t>
      </w:r>
    </w:p>
    <w:p w14:paraId="1AC2E41E" w14:textId="77777777" w:rsidR="00F57C3D" w:rsidRPr="00EE32B6" w:rsidRDefault="00F57C3D" w:rsidP="00F57C3D">
      <w:pPr>
        <w:pStyle w:val="Overskrift4"/>
        <w:numPr>
          <w:ilvl w:val="2"/>
          <w:numId w:val="6"/>
        </w:numPr>
      </w:pPr>
      <w:r w:rsidRPr="00EE32B6">
        <w:t>Statlig tilgang til overførte data etter TA</w:t>
      </w:r>
    </w:p>
    <w:p w14:paraId="41B6124A" w14:textId="77777777" w:rsidR="00F57C3D" w:rsidRPr="00F161D7" w:rsidRDefault="00F57C3D" w:rsidP="00F57C3D">
      <w:pPr>
        <w:rPr>
          <w:lang w:val="en-GB"/>
        </w:rPr>
      </w:pPr>
      <w:r w:rsidRPr="00F161D7">
        <w:rPr>
          <w:lang w:val="en-GB"/>
        </w:rPr>
        <w:t xml:space="preserve">Det </w:t>
      </w:r>
      <w:proofErr w:type="spellStart"/>
      <w:r w:rsidRPr="00F161D7">
        <w:rPr>
          <w:lang w:val="en-GB"/>
        </w:rPr>
        <w:t>følger</w:t>
      </w:r>
      <w:proofErr w:type="spellEnd"/>
      <w:r w:rsidRPr="00F161D7">
        <w:rPr>
          <w:lang w:val="en-GB"/>
        </w:rPr>
        <w:t xml:space="preserve"> </w:t>
      </w:r>
      <w:proofErr w:type="spellStart"/>
      <w:r w:rsidRPr="00F161D7">
        <w:rPr>
          <w:lang w:val="en-GB"/>
        </w:rPr>
        <w:t>av</w:t>
      </w:r>
      <w:proofErr w:type="spellEnd"/>
      <w:r w:rsidRPr="00F161D7">
        <w:rPr>
          <w:lang w:val="en-GB"/>
        </w:rPr>
        <w:t xml:space="preserve"> </w:t>
      </w:r>
      <w:proofErr w:type="spellStart"/>
      <w:r w:rsidRPr="00F161D7">
        <w:rPr>
          <w:lang w:val="en-GB"/>
        </w:rPr>
        <w:t>artikkel</w:t>
      </w:r>
      <w:proofErr w:type="spellEnd"/>
      <w:r w:rsidRPr="00F161D7">
        <w:rPr>
          <w:lang w:val="en-GB"/>
        </w:rPr>
        <w:t xml:space="preserve"> 7 i TA at </w:t>
      </w:r>
      <w:proofErr w:type="spellStart"/>
      <w:r w:rsidRPr="00F161D7">
        <w:rPr>
          <w:lang w:val="en-GB"/>
        </w:rPr>
        <w:t>en</w:t>
      </w:r>
      <w:proofErr w:type="spellEnd"/>
      <w:r w:rsidRPr="00F161D7">
        <w:rPr>
          <w:lang w:val="en-GB"/>
        </w:rPr>
        <w:t xml:space="preserve"> </w:t>
      </w:r>
      <w:proofErr w:type="gramStart"/>
      <w:r w:rsidRPr="00F161D7">
        <w:rPr>
          <w:lang w:val="en-GB"/>
        </w:rPr>
        <w:t>«[</w:t>
      </w:r>
      <w:proofErr w:type="gramEnd"/>
      <w:r w:rsidRPr="00F161D7">
        <w:rPr>
          <w:lang w:val="en-GB"/>
        </w:rPr>
        <w:t>…]telecommunications enterprise or its employees, including the retired, shall hold the existence and contents of communications in strict confidence.»</w:t>
      </w:r>
    </w:p>
    <w:p w14:paraId="00E86DFD" w14:textId="77777777" w:rsidR="00F57C3D" w:rsidRPr="00EE32B6" w:rsidRDefault="00F57C3D" w:rsidP="00F57C3D">
      <w:r w:rsidRPr="00EE32B6">
        <w:t>Etter ordlyden gjelder her en hovedregel om plikt til arkivering og sikring av data innhentet og lagret i forbindelse med bruk av elektroniske verktøy i Taiwan. Unntak til denne hovedregelen utløses dersom «</w:t>
      </w:r>
      <w:proofErr w:type="spellStart"/>
      <w:r w:rsidRPr="00EE32B6">
        <w:t>the</w:t>
      </w:r>
      <w:proofErr w:type="spellEnd"/>
      <w:r w:rsidRPr="00EE32B6">
        <w:t xml:space="preserve"> </w:t>
      </w:r>
      <w:proofErr w:type="spellStart"/>
      <w:r w:rsidRPr="00EE32B6">
        <w:t>disclosure</w:t>
      </w:r>
      <w:proofErr w:type="spellEnd"/>
      <w:r w:rsidRPr="00EE32B6">
        <w:t xml:space="preserve"> </w:t>
      </w:r>
      <w:proofErr w:type="spellStart"/>
      <w:r w:rsidRPr="00EE32B6">
        <w:t>of</w:t>
      </w:r>
      <w:proofErr w:type="spellEnd"/>
      <w:r w:rsidRPr="00EE32B6">
        <w:t xml:space="preserve"> </w:t>
      </w:r>
      <w:proofErr w:type="spellStart"/>
      <w:r w:rsidRPr="00EE32B6">
        <w:t>such</w:t>
      </w:r>
      <w:proofErr w:type="spellEnd"/>
      <w:r w:rsidRPr="00EE32B6">
        <w:t xml:space="preserve"> records» gjennomføres i tråd med anvendelige lover og reguleringer. Hvilke anvendelige lover og reguleringer dette gjelder, nevnes ikke spesifikt. En antakelse er likevel at dette er en implisitt henvisning til CCP og CSSA, slik som i PDPA. </w:t>
      </w:r>
    </w:p>
    <w:p w14:paraId="6FD032DD" w14:textId="48652709" w:rsidR="00F57C3D" w:rsidRPr="00EE32B6" w:rsidRDefault="00F57C3D" w:rsidP="00F57C3D">
      <w:proofErr w:type="spellStart"/>
      <w:r w:rsidRPr="007052BE">
        <w:rPr>
          <w:lang w:val="en-GB"/>
        </w:rPr>
        <w:t>Artikkel</w:t>
      </w:r>
      <w:proofErr w:type="spellEnd"/>
      <w:r w:rsidRPr="007052BE">
        <w:rPr>
          <w:lang w:val="en-GB"/>
        </w:rPr>
        <w:t xml:space="preserve"> 3 i «Regulation for Handling Requests from Competent </w:t>
      </w:r>
      <w:proofErr w:type="spellStart"/>
      <w:r w:rsidRPr="007052BE">
        <w:rPr>
          <w:lang w:val="en-GB"/>
        </w:rPr>
        <w:t>Aurhorities</w:t>
      </w:r>
      <w:proofErr w:type="spellEnd"/>
      <w:r w:rsidRPr="007052BE">
        <w:rPr>
          <w:lang w:val="en-GB"/>
        </w:rPr>
        <w:t xml:space="preserve"> for Comm. Rec.» </w:t>
      </w:r>
      <w:proofErr w:type="spellStart"/>
      <w:r w:rsidRPr="007052BE">
        <w:rPr>
          <w:lang w:val="en-GB"/>
        </w:rPr>
        <w:t>skal</w:t>
      </w:r>
      <w:proofErr w:type="spellEnd"/>
      <w:r w:rsidRPr="007052BE">
        <w:rPr>
          <w:lang w:val="en-GB"/>
        </w:rPr>
        <w:t xml:space="preserve"> </w:t>
      </w:r>
      <w:proofErr w:type="spellStart"/>
      <w:r w:rsidRPr="007052BE">
        <w:rPr>
          <w:lang w:val="en-GB"/>
        </w:rPr>
        <w:t>også</w:t>
      </w:r>
      <w:proofErr w:type="spellEnd"/>
      <w:r w:rsidRPr="007052BE">
        <w:rPr>
          <w:lang w:val="en-GB"/>
        </w:rPr>
        <w:t xml:space="preserve"> </w:t>
      </w:r>
      <w:proofErr w:type="spellStart"/>
      <w:r w:rsidRPr="007052BE">
        <w:rPr>
          <w:lang w:val="en-GB"/>
        </w:rPr>
        <w:t>være</w:t>
      </w:r>
      <w:proofErr w:type="spellEnd"/>
      <w:r w:rsidRPr="007052BE">
        <w:rPr>
          <w:lang w:val="en-GB"/>
        </w:rPr>
        <w:t xml:space="preserve"> relevant i </w:t>
      </w:r>
      <w:proofErr w:type="spellStart"/>
      <w:r w:rsidRPr="007052BE">
        <w:rPr>
          <w:lang w:val="en-GB"/>
        </w:rPr>
        <w:t>denne</w:t>
      </w:r>
      <w:proofErr w:type="spellEnd"/>
      <w:r w:rsidRPr="007052BE">
        <w:rPr>
          <w:lang w:val="en-GB"/>
        </w:rPr>
        <w:t xml:space="preserve"> </w:t>
      </w:r>
      <w:proofErr w:type="spellStart"/>
      <w:r w:rsidRPr="007052BE">
        <w:rPr>
          <w:lang w:val="en-GB"/>
        </w:rPr>
        <w:t>sammenheng</w:t>
      </w:r>
      <w:proofErr w:type="spellEnd"/>
      <w:r w:rsidRPr="007052BE">
        <w:rPr>
          <w:lang w:val="en-GB"/>
        </w:rPr>
        <w:t xml:space="preserve">. </w:t>
      </w:r>
      <w:proofErr w:type="spellStart"/>
      <w:r w:rsidRPr="007052BE">
        <w:rPr>
          <w:lang w:val="en-GB"/>
        </w:rPr>
        <w:t>Ifølge</w:t>
      </w:r>
      <w:proofErr w:type="spellEnd"/>
      <w:r w:rsidRPr="007052BE">
        <w:rPr>
          <w:lang w:val="en-GB"/>
        </w:rPr>
        <w:t xml:space="preserve"> </w:t>
      </w:r>
      <w:proofErr w:type="spellStart"/>
      <w:proofErr w:type="gramStart"/>
      <w:r w:rsidRPr="007052BE">
        <w:rPr>
          <w:lang w:val="en-GB"/>
        </w:rPr>
        <w:t>J.Marshall</w:t>
      </w:r>
      <w:proofErr w:type="spellEnd"/>
      <w:proofErr w:type="gramEnd"/>
      <w:r w:rsidRPr="007052BE">
        <w:rPr>
          <w:lang w:val="en-GB"/>
        </w:rPr>
        <w:t xml:space="preserve"> </w:t>
      </w:r>
      <w:proofErr w:type="spellStart"/>
      <w:r w:rsidRPr="007052BE">
        <w:rPr>
          <w:lang w:val="en-GB"/>
        </w:rPr>
        <w:t>involverer</w:t>
      </w:r>
      <w:proofErr w:type="spellEnd"/>
      <w:r w:rsidRPr="007052BE">
        <w:rPr>
          <w:lang w:val="en-GB"/>
        </w:rPr>
        <w:t xml:space="preserve"> </w:t>
      </w:r>
      <w:proofErr w:type="spellStart"/>
      <w:r w:rsidRPr="007052BE">
        <w:rPr>
          <w:lang w:val="en-GB"/>
        </w:rPr>
        <w:t>inngangsvilkårene</w:t>
      </w:r>
      <w:proofErr w:type="spellEnd"/>
      <w:r w:rsidRPr="007052BE">
        <w:rPr>
          <w:lang w:val="en-GB"/>
        </w:rPr>
        <w:t xml:space="preserve"> for </w:t>
      </w:r>
      <w:proofErr w:type="spellStart"/>
      <w:r w:rsidRPr="007052BE">
        <w:rPr>
          <w:lang w:val="en-GB"/>
        </w:rPr>
        <w:t>utlevering</w:t>
      </w:r>
      <w:proofErr w:type="spellEnd"/>
      <w:r w:rsidRPr="007052BE">
        <w:rPr>
          <w:lang w:val="en-GB"/>
        </w:rPr>
        <w:t xml:space="preserve"> </w:t>
      </w:r>
      <w:proofErr w:type="spellStart"/>
      <w:r w:rsidRPr="007052BE">
        <w:rPr>
          <w:lang w:val="en-GB"/>
        </w:rPr>
        <w:t>en</w:t>
      </w:r>
      <w:proofErr w:type="spellEnd"/>
      <w:r w:rsidRPr="007052BE">
        <w:rPr>
          <w:lang w:val="en-GB"/>
        </w:rPr>
        <w:t xml:space="preserve"> «[…]«easy -to-meet» standard that only requires the applicant agency to state the necessity, reasonableness, and proportionality when requesting the records.».</w:t>
      </w:r>
      <w:r w:rsidRPr="00EE32B6">
        <w:rPr>
          <w:rStyle w:val="Fotnotereferanse"/>
        </w:rPr>
        <w:footnoteReference w:id="15"/>
      </w:r>
      <w:r w:rsidRPr="007052BE">
        <w:rPr>
          <w:lang w:val="en-GB"/>
        </w:rPr>
        <w:t xml:space="preserve"> </w:t>
      </w:r>
      <w:r w:rsidRPr="00EE32B6">
        <w:t xml:space="preserve">Prosjektet er ikke i stand til å verifisere om denne forståelsen stemmer. Dette skyldes at nevnte regulering ikke lenger er tilgjengelig </w:t>
      </w:r>
      <w:r w:rsidR="00850641" w:rsidRPr="00EE32B6">
        <w:t>–</w:t>
      </w:r>
      <w:r w:rsidRPr="00EE32B6">
        <w:t xml:space="preserve"> trolig fordi TA ble erstattet med TMA i 2020. </w:t>
      </w:r>
    </w:p>
    <w:p w14:paraId="213C2BB8" w14:textId="77777777" w:rsidR="00F57C3D" w:rsidRPr="00EE32B6" w:rsidRDefault="00F57C3D" w:rsidP="00F57C3D">
      <w:pPr>
        <w:pStyle w:val="Overskrift4"/>
        <w:numPr>
          <w:ilvl w:val="2"/>
          <w:numId w:val="6"/>
        </w:numPr>
      </w:pPr>
      <w:r w:rsidRPr="00EE32B6">
        <w:t>Statlig tilgang til overførte data etter TMA</w:t>
      </w:r>
    </w:p>
    <w:p w14:paraId="25DB57E7" w14:textId="5C15ECF3" w:rsidR="0067266B" w:rsidRPr="005B7B7D" w:rsidRDefault="00F57C3D" w:rsidP="00BD03F6">
      <w:pPr>
        <w:rPr>
          <w:lang w:val="en-GB"/>
        </w:rPr>
      </w:pPr>
      <w:r w:rsidRPr="00EE32B6">
        <w:t>Hovedregelen om arkivering og sikring av «records»</w:t>
      </w:r>
      <w:r w:rsidR="00A440F6" w:rsidRPr="00EE32B6">
        <w:t xml:space="preserve"> er</w:t>
      </w:r>
      <w:r w:rsidRPr="00EE32B6">
        <w:t xml:space="preserve"> videreført i TMA – riktignok </w:t>
      </w:r>
      <w:r w:rsidR="00AA4AC0">
        <w:t>i</w:t>
      </w:r>
      <w:r w:rsidR="00AA4AC0" w:rsidRPr="00EE32B6">
        <w:t xml:space="preserve"> </w:t>
      </w:r>
      <w:r w:rsidRPr="00EE32B6">
        <w:t>en litt annen språkdrakt, se beskrivelse artikkel 7 i TA over. TMA ser ikke ut til å videreføre unntaket om utleveringer til statlige aktører. Unntak til hovedregelen kan fremdeles inntre, men her er vilkårene endret. Når det gjelder utlevering av data til statlige aktører, henvises det til relevante bestemmelser og unntak i CSSA</w:t>
      </w:r>
      <w:r w:rsidR="003148F4" w:rsidRPr="00EE32B6">
        <w:t xml:space="preserve">, se artikkel </w:t>
      </w:r>
      <w:r w:rsidR="006B038A" w:rsidRPr="00EE32B6">
        <w:t>9 siste ledd</w:t>
      </w:r>
      <w:r w:rsidRPr="00EE32B6">
        <w:t>.</w:t>
      </w:r>
      <w:r w:rsidR="009B5F9A" w:rsidRPr="00EE32B6">
        <w:t xml:space="preserve"> </w:t>
      </w:r>
      <w:r w:rsidR="009B5F9A" w:rsidRPr="005B7B7D">
        <w:rPr>
          <w:lang w:val="en-GB"/>
        </w:rPr>
        <w:t xml:space="preserve">Her </w:t>
      </w:r>
      <w:proofErr w:type="spellStart"/>
      <w:r w:rsidR="009B5F9A" w:rsidRPr="005B7B7D">
        <w:rPr>
          <w:lang w:val="en-GB"/>
        </w:rPr>
        <w:t>følger</w:t>
      </w:r>
      <w:proofErr w:type="spellEnd"/>
      <w:r w:rsidR="009B5F9A" w:rsidRPr="005B7B7D">
        <w:rPr>
          <w:lang w:val="en-GB"/>
        </w:rPr>
        <w:t xml:space="preserve"> at «[t]</w:t>
      </w:r>
      <w:proofErr w:type="spellStart"/>
      <w:r w:rsidR="009B5F9A" w:rsidRPr="005B7B7D">
        <w:rPr>
          <w:lang w:val="en-GB"/>
        </w:rPr>
        <w:t>elecommunications</w:t>
      </w:r>
      <w:proofErr w:type="spellEnd"/>
      <w:r w:rsidR="009B5F9A" w:rsidRPr="005B7B7D">
        <w:rPr>
          <w:lang w:val="en-GB"/>
        </w:rPr>
        <w:t xml:space="preserve"> enterprises and those who have established PSTN are obliged to assist in the implementation of communication surveillance and in the access of communications records and communications user’s information in accordance with the </w:t>
      </w:r>
      <w:r w:rsidR="00320B36" w:rsidRPr="005B7B7D">
        <w:rPr>
          <w:lang w:val="en-GB"/>
        </w:rPr>
        <w:t>Communicati</w:t>
      </w:r>
      <w:r w:rsidR="00AA4AC0">
        <w:rPr>
          <w:lang w:val="en-GB"/>
        </w:rPr>
        <w:t>o</w:t>
      </w:r>
      <w:r w:rsidR="00320B36" w:rsidRPr="005B7B7D">
        <w:rPr>
          <w:lang w:val="en-GB"/>
        </w:rPr>
        <w:t>n Security and Surveillance Act.”</w:t>
      </w:r>
      <w:r w:rsidR="00BD03F6" w:rsidRPr="005B7B7D">
        <w:rPr>
          <w:lang w:val="en-GB"/>
        </w:rPr>
        <w:t>.</w:t>
      </w:r>
    </w:p>
    <w:p w14:paraId="3D78AC38" w14:textId="23D45B29" w:rsidR="003B691A" w:rsidRPr="00EE32B6" w:rsidRDefault="00F9115B" w:rsidP="003B691A">
      <w:pPr>
        <w:pStyle w:val="Overskrift2"/>
        <w:numPr>
          <w:ilvl w:val="0"/>
          <w:numId w:val="6"/>
        </w:numPr>
        <w:rPr>
          <w:b w:val="0"/>
          <w:bCs/>
        </w:rPr>
      </w:pPr>
      <w:bookmarkStart w:id="41" w:name="_Toc175831469"/>
      <w:r w:rsidRPr="00EE32B6">
        <w:rPr>
          <w:b w:val="0"/>
          <w:bCs/>
        </w:rPr>
        <w:lastRenderedPageBreak/>
        <w:t>Landvurderingen</w:t>
      </w:r>
      <w:r w:rsidR="009C2E4F" w:rsidRPr="00EE32B6">
        <w:rPr>
          <w:b w:val="0"/>
          <w:bCs/>
        </w:rPr>
        <w:t xml:space="preserve"> - Taiwan</w:t>
      </w:r>
      <w:bookmarkEnd w:id="41"/>
    </w:p>
    <w:p w14:paraId="022D1D3C" w14:textId="4482904A" w:rsidR="00F57C3D" w:rsidRPr="00EE32B6" w:rsidRDefault="00F57C3D" w:rsidP="00241913">
      <w:pPr>
        <w:pStyle w:val="Overskrift3"/>
      </w:pPr>
      <w:bookmarkStart w:id="42" w:name="_Toc175831470"/>
      <w:r w:rsidRPr="00EE32B6">
        <w:t>Overordnet problemstilling</w:t>
      </w:r>
      <w:r w:rsidR="00F925E5" w:rsidRPr="00EE32B6">
        <w:t xml:space="preserve"> og metode</w:t>
      </w:r>
      <w:bookmarkEnd w:id="42"/>
    </w:p>
    <w:p w14:paraId="17C7497C" w14:textId="7B14F429" w:rsidR="00F57C3D" w:rsidRPr="00EE32B6" w:rsidRDefault="00076903" w:rsidP="00F57C3D">
      <w:r>
        <w:t xml:space="preserve">I henhold til steg 3 i </w:t>
      </w:r>
      <w:proofErr w:type="spellStart"/>
      <w:r>
        <w:t>EDPBs</w:t>
      </w:r>
      <w:proofErr w:type="spellEnd"/>
      <w:r>
        <w:t xml:space="preserve"> «</w:t>
      </w:r>
      <w:proofErr w:type="spellStart"/>
      <w:r>
        <w:t>Recommendations</w:t>
      </w:r>
      <w:proofErr w:type="spellEnd"/>
      <w:r>
        <w:t xml:space="preserve"> 01/2020 </w:t>
      </w:r>
      <w:proofErr w:type="spellStart"/>
      <w:r>
        <w:t>on</w:t>
      </w:r>
      <w:proofErr w:type="spellEnd"/>
      <w:r>
        <w:t xml:space="preserve"> </w:t>
      </w:r>
      <w:proofErr w:type="spellStart"/>
      <w:r>
        <w:t>measures</w:t>
      </w:r>
      <w:proofErr w:type="spellEnd"/>
      <w:r>
        <w:t xml:space="preserve"> </w:t>
      </w:r>
      <w:proofErr w:type="spellStart"/>
      <w:r>
        <w:t>that</w:t>
      </w:r>
      <w:proofErr w:type="spellEnd"/>
      <w:r>
        <w:t xml:space="preserve"> supplement transfer </w:t>
      </w:r>
      <w:proofErr w:type="spellStart"/>
      <w:r>
        <w:t>tools</w:t>
      </w:r>
      <w:proofErr w:type="spellEnd"/>
      <w:r>
        <w:t xml:space="preserve"> to </w:t>
      </w:r>
      <w:proofErr w:type="spellStart"/>
      <w:r>
        <w:t>ensure</w:t>
      </w:r>
      <w:proofErr w:type="spellEnd"/>
      <w:r>
        <w:t xml:space="preserve"> </w:t>
      </w:r>
      <w:proofErr w:type="spellStart"/>
      <w:r>
        <w:t>compliance</w:t>
      </w:r>
      <w:proofErr w:type="spellEnd"/>
      <w:r>
        <w:t xml:space="preserve"> </w:t>
      </w:r>
      <w:proofErr w:type="spellStart"/>
      <w:r>
        <w:t>with</w:t>
      </w:r>
      <w:proofErr w:type="spellEnd"/>
      <w:r>
        <w:t xml:space="preserve"> </w:t>
      </w:r>
      <w:proofErr w:type="spellStart"/>
      <w:r>
        <w:t>the</w:t>
      </w:r>
      <w:proofErr w:type="spellEnd"/>
      <w:r>
        <w:t xml:space="preserve"> EU </w:t>
      </w:r>
      <w:proofErr w:type="spellStart"/>
      <w:r>
        <w:t>level</w:t>
      </w:r>
      <w:proofErr w:type="spellEnd"/>
      <w:r>
        <w:t xml:space="preserve"> </w:t>
      </w:r>
      <w:proofErr w:type="spellStart"/>
      <w:r>
        <w:t>of</w:t>
      </w:r>
      <w:proofErr w:type="spellEnd"/>
      <w:r>
        <w:t xml:space="preserve"> </w:t>
      </w:r>
      <w:proofErr w:type="spellStart"/>
      <w:r>
        <w:t>protection</w:t>
      </w:r>
      <w:proofErr w:type="spellEnd"/>
      <w:r>
        <w:t xml:space="preserve"> </w:t>
      </w:r>
      <w:proofErr w:type="spellStart"/>
      <w:r>
        <w:t>of</w:t>
      </w:r>
      <w:proofErr w:type="spellEnd"/>
      <w:r>
        <w:t xml:space="preserve"> personal data, </w:t>
      </w:r>
      <w:proofErr w:type="spellStart"/>
      <w:r>
        <w:t>version</w:t>
      </w:r>
      <w:proofErr w:type="spellEnd"/>
      <w:r>
        <w:t xml:space="preserve"> 2.0» er fo</w:t>
      </w:r>
      <w:r w:rsidR="008D58AD" w:rsidRPr="00EE32B6">
        <w:t xml:space="preserve">rmålet </w:t>
      </w:r>
      <w:r w:rsidR="00BD13D1" w:rsidRPr="00EE32B6">
        <w:t>m</w:t>
      </w:r>
      <w:r w:rsidR="00210450" w:rsidRPr="00EE32B6">
        <w:t>ed en landvurdering å a</w:t>
      </w:r>
      <w:r w:rsidR="00046DC0" w:rsidRPr="00EE32B6">
        <w:t>vgj</w:t>
      </w:r>
      <w:r w:rsidR="000017A3" w:rsidRPr="00EE32B6">
        <w:t xml:space="preserve">øre </w:t>
      </w:r>
      <w:r w:rsidR="005F2848" w:rsidRPr="00EE32B6">
        <w:t>om det finnes</w:t>
      </w:r>
      <w:r w:rsidR="00F3252B" w:rsidRPr="00EE32B6">
        <w:t xml:space="preserve"> lovgivningen og/eller praksis i </w:t>
      </w:r>
      <w:r w:rsidR="00DF0AD2" w:rsidRPr="00EE32B6">
        <w:t>landet det overføres</w:t>
      </w:r>
      <w:r w:rsidR="00F3252B" w:rsidRPr="00EE32B6">
        <w:t xml:space="preserve"> personopplysninge</w:t>
      </w:r>
      <w:r w:rsidR="007F580D" w:rsidRPr="00EE32B6">
        <w:t>r</w:t>
      </w:r>
      <w:r w:rsidR="00F3252B" w:rsidRPr="00EE32B6">
        <w:t xml:space="preserve"> til som på</w:t>
      </w:r>
      <w:r w:rsidR="00C4532D" w:rsidRPr="00EE32B6">
        <w:t xml:space="preserve">virker </w:t>
      </w:r>
      <w:r w:rsidR="00F3252B" w:rsidRPr="00EE32B6">
        <w:t xml:space="preserve">effektiviteten </w:t>
      </w:r>
      <w:r w:rsidR="00B24913" w:rsidRPr="00EE32B6">
        <w:t>til overføringsgrunnlage</w:t>
      </w:r>
      <w:r w:rsidR="00014575" w:rsidRPr="00EE32B6">
        <w:t>t som er valgt</w:t>
      </w:r>
      <w:r w:rsidR="0034786D">
        <w:t>.</w:t>
      </w:r>
      <w:r w:rsidR="0034786D">
        <w:rPr>
          <w:rStyle w:val="Fotnotereferanse"/>
        </w:rPr>
        <w:footnoteReference w:id="16"/>
      </w:r>
      <w:r w:rsidR="00ED7352" w:rsidRPr="00EE32B6">
        <w:t xml:space="preserve"> Analysen skal fokusere på lo</w:t>
      </w:r>
      <w:r w:rsidR="007B18A6" w:rsidRPr="00EE32B6">
        <w:t xml:space="preserve">kale lover og regler </w:t>
      </w:r>
      <w:r w:rsidR="00C11664" w:rsidRPr="00EE32B6">
        <w:t>som er relevante for overføringen og overføringsgrunnlaget.</w:t>
      </w:r>
      <w:r w:rsidR="00B24913" w:rsidRPr="00EE32B6">
        <w:t xml:space="preserve"> </w:t>
      </w:r>
      <w:r w:rsidR="00AF01B4" w:rsidRPr="00EE32B6">
        <w:t>Med hensyn til den konkrete overføringen</w:t>
      </w:r>
      <w:r w:rsidR="00B627F8" w:rsidRPr="00EE32B6">
        <w:t xml:space="preserve"> skal følgende</w:t>
      </w:r>
      <w:r w:rsidR="00A75269" w:rsidRPr="00EE32B6">
        <w:t xml:space="preserve"> spørsmål</w:t>
      </w:r>
      <w:r w:rsidR="00B627F8" w:rsidRPr="00EE32B6">
        <w:t xml:space="preserve"> svares ut</w:t>
      </w:r>
      <w:r w:rsidR="00A75269" w:rsidRPr="00EE32B6">
        <w:t xml:space="preserve">: </w:t>
      </w:r>
      <w:r w:rsidR="00241CE1" w:rsidRPr="00EE32B6">
        <w:t xml:space="preserve"> </w:t>
      </w:r>
      <w:r w:rsidR="00016596" w:rsidRPr="00EE32B6">
        <w:t xml:space="preserve"> </w:t>
      </w:r>
    </w:p>
    <w:p w14:paraId="49D54528" w14:textId="40D79783" w:rsidR="00D03769" w:rsidRPr="00EE32B6" w:rsidRDefault="004D77C2" w:rsidP="004F0128">
      <w:pPr>
        <w:pStyle w:val="Listeavsnitt"/>
        <w:numPr>
          <w:ilvl w:val="0"/>
          <w:numId w:val="43"/>
        </w:numPr>
      </w:pPr>
      <w:r w:rsidRPr="00EE32B6">
        <w:t xml:space="preserve">Kan dataimportøren garantere </w:t>
      </w:r>
      <w:r w:rsidR="00C96D90" w:rsidRPr="00EE32B6">
        <w:t>et tilstrekkelig beskyttelsesnivå for personopplysningene</w:t>
      </w:r>
      <w:r w:rsidR="00A16DD8" w:rsidRPr="00EE32B6">
        <w:t xml:space="preserve"> som overføres </w:t>
      </w:r>
      <w:r w:rsidR="00D16254" w:rsidRPr="00EE32B6">
        <w:t xml:space="preserve">til </w:t>
      </w:r>
      <w:r w:rsidR="00166F00" w:rsidRPr="00EE32B6">
        <w:t>tredjelandet (Taiwan)</w:t>
      </w:r>
      <w:r w:rsidR="00D16254" w:rsidRPr="00EE32B6">
        <w:t>?</w:t>
      </w:r>
    </w:p>
    <w:p w14:paraId="137A5B58" w14:textId="3E6A0478" w:rsidR="004541A9" w:rsidRPr="00EE32B6" w:rsidRDefault="0054368B" w:rsidP="00D5255B">
      <w:r w:rsidRPr="00EE32B6">
        <w:t xml:space="preserve">Hvorvidt et tredjeland </w:t>
      </w:r>
      <w:r w:rsidR="002932AD" w:rsidRPr="00EE32B6">
        <w:t xml:space="preserve">kan </w:t>
      </w:r>
      <w:r w:rsidR="001A1E7D" w:rsidRPr="00EE32B6">
        <w:t>vurderes til å ha</w:t>
      </w:r>
      <w:r w:rsidR="00B83EA1" w:rsidRPr="00EE32B6">
        <w:t xml:space="preserve"> t</w:t>
      </w:r>
      <w:r w:rsidR="0015473F" w:rsidRPr="00EE32B6">
        <w:t xml:space="preserve">ilstrekkelig beskyttelsesnivå </w:t>
      </w:r>
      <w:r w:rsidR="00CC0E45" w:rsidRPr="00EE32B6">
        <w:t>avhenger av</w:t>
      </w:r>
      <w:r w:rsidR="004541A9" w:rsidRPr="00EE32B6">
        <w:t>:</w:t>
      </w:r>
    </w:p>
    <w:p w14:paraId="2FD3DFF2" w14:textId="284E030B" w:rsidR="0045717F" w:rsidRDefault="004541A9" w:rsidP="0045717F">
      <w:pPr>
        <w:pStyle w:val="Listeavsnitt"/>
        <w:numPr>
          <w:ilvl w:val="0"/>
          <w:numId w:val="40"/>
        </w:numPr>
      </w:pPr>
      <w:r w:rsidRPr="00EE32B6">
        <w:t>O</w:t>
      </w:r>
      <w:r w:rsidR="0015473F" w:rsidRPr="00EE32B6">
        <w:t>m</w:t>
      </w:r>
      <w:r w:rsidR="007B3F21" w:rsidRPr="00EE32B6">
        <w:t xml:space="preserve"> lokal </w:t>
      </w:r>
      <w:r w:rsidR="00902560" w:rsidRPr="00EE32B6">
        <w:t>overvåknings</w:t>
      </w:r>
      <w:r w:rsidR="007B3F21" w:rsidRPr="00EE32B6">
        <w:t xml:space="preserve">lovgivning </w:t>
      </w:r>
      <w:r w:rsidR="00B520F8" w:rsidRPr="00EE32B6">
        <w:t>gjelder for den</w:t>
      </w:r>
      <w:r w:rsidR="008D2470" w:rsidRPr="00EE32B6">
        <w:t xml:space="preserve"> konkrete</w:t>
      </w:r>
      <w:r w:rsidR="00B520F8" w:rsidRPr="00EE32B6">
        <w:t xml:space="preserve"> overføringen</w:t>
      </w:r>
      <w:r w:rsidR="00445DD5" w:rsidRPr="00EE32B6">
        <w:t xml:space="preserve"> – og hvis ja</w:t>
      </w:r>
      <w:r w:rsidR="00B83EA1" w:rsidRPr="00EE32B6">
        <w:t>;</w:t>
      </w:r>
      <w:r w:rsidR="009969AD" w:rsidRPr="00EE32B6">
        <w:t xml:space="preserve"> </w:t>
      </w:r>
      <w:r w:rsidR="0045717F">
        <w:br/>
      </w:r>
    </w:p>
    <w:p w14:paraId="171B86F2" w14:textId="2CC58033" w:rsidR="00445DD5" w:rsidRPr="00EE32B6" w:rsidRDefault="00B83EA1" w:rsidP="0045717F">
      <w:pPr>
        <w:pStyle w:val="Listeavsnitt"/>
        <w:numPr>
          <w:ilvl w:val="0"/>
          <w:numId w:val="40"/>
        </w:numPr>
      </w:pPr>
      <w:r w:rsidRPr="00EE32B6">
        <w:t>O</w:t>
      </w:r>
      <w:r w:rsidR="009969AD" w:rsidRPr="00EE32B6">
        <w:t>m</w:t>
      </w:r>
      <w:r w:rsidR="00E27776" w:rsidRPr="00EE32B6">
        <w:t xml:space="preserve"> </w:t>
      </w:r>
      <w:r w:rsidR="00CC1073" w:rsidRPr="00EE32B6">
        <w:t>de såkalte "</w:t>
      </w:r>
      <w:r w:rsidR="00481A72" w:rsidRPr="00EE32B6">
        <w:t xml:space="preserve">grunnleggende </w:t>
      </w:r>
      <w:r w:rsidR="00D91BE8" w:rsidRPr="00EE32B6">
        <w:t xml:space="preserve">Europeisk </w:t>
      </w:r>
      <w:r w:rsidR="00E27776" w:rsidRPr="00EE32B6">
        <w:t>garantie</w:t>
      </w:r>
      <w:r w:rsidR="00CC1073" w:rsidRPr="00EE32B6">
        <w:t>ne"</w:t>
      </w:r>
      <w:r w:rsidR="006C74D2" w:rsidRPr="00EE32B6">
        <w:t xml:space="preserve"> </w:t>
      </w:r>
      <w:r w:rsidR="00642FCF" w:rsidRPr="00EE32B6">
        <w:t>er oppfylt</w:t>
      </w:r>
      <w:r w:rsidR="009969AD" w:rsidRPr="00EE32B6">
        <w:t xml:space="preserve"> for </w:t>
      </w:r>
      <w:r w:rsidR="00B42B4C" w:rsidRPr="00EE32B6">
        <w:t>myndighetene</w:t>
      </w:r>
      <w:r w:rsidR="00FA4DB4" w:rsidRPr="00EE32B6">
        <w:t>s tilgang til personopplysninger med grunnlag i</w:t>
      </w:r>
      <w:r w:rsidR="00B42B4C" w:rsidRPr="00EE32B6">
        <w:t xml:space="preserve"> </w:t>
      </w:r>
      <w:r w:rsidR="009969AD" w:rsidRPr="00EE32B6">
        <w:t>de</w:t>
      </w:r>
      <w:r w:rsidR="00902560" w:rsidRPr="00EE32B6">
        <w:t>n/de</w:t>
      </w:r>
      <w:r w:rsidR="009969AD" w:rsidRPr="00EE32B6">
        <w:t xml:space="preserve"> aktuelle</w:t>
      </w:r>
      <w:r w:rsidR="00902560" w:rsidRPr="00EE32B6">
        <w:t xml:space="preserve"> loven(e).</w:t>
      </w:r>
      <w:r w:rsidR="006C74D2" w:rsidRPr="00EE32B6">
        <w:rPr>
          <w:rStyle w:val="Fotnotereferanse"/>
        </w:rPr>
        <w:t xml:space="preserve"> </w:t>
      </w:r>
      <w:r w:rsidR="006C74D2" w:rsidRPr="00EE32B6">
        <w:rPr>
          <w:rStyle w:val="Fotnotereferanse"/>
        </w:rPr>
        <w:footnoteReference w:id="17"/>
      </w:r>
    </w:p>
    <w:p w14:paraId="65E0E58E" w14:textId="714E65D3" w:rsidR="00D5255B" w:rsidRPr="00EE32B6" w:rsidRDefault="00F712C5" w:rsidP="00D5255B">
      <w:r w:rsidRPr="00EE32B6">
        <w:t>De grunnleggende Europeiske garantiene</w:t>
      </w:r>
      <w:r w:rsidR="00D5255B" w:rsidRPr="00EE32B6">
        <w:t xml:space="preserve"> baserer seg på</w:t>
      </w:r>
      <w:r w:rsidR="004206E6" w:rsidRPr="00EE32B6">
        <w:t xml:space="preserve"> </w:t>
      </w:r>
      <w:r w:rsidR="00F63230" w:rsidRPr="00EE32B6">
        <w:t>EU-charteret</w:t>
      </w:r>
      <w:r w:rsidR="00D5255B" w:rsidRPr="00EE32B6">
        <w:t xml:space="preserve"> slik det er tolket av EU-domstolen</w:t>
      </w:r>
      <w:r w:rsidR="00DE48A0" w:rsidRPr="00EE32B6">
        <w:t>. Her</w:t>
      </w:r>
      <w:r w:rsidR="00294741" w:rsidRPr="00EE32B6">
        <w:t xml:space="preserve"> reflektere</w:t>
      </w:r>
      <w:r w:rsidR="00DE48A0" w:rsidRPr="00EE32B6">
        <w:t>s</w:t>
      </w:r>
      <w:r w:rsidR="00294741" w:rsidRPr="00EE32B6">
        <w:t xml:space="preserve"> blant annet</w:t>
      </w:r>
      <w:r w:rsidR="00D5255B" w:rsidRPr="00EE32B6">
        <w:t xml:space="preserve"> den grunnleggende retten til privatliv</w:t>
      </w:r>
      <w:r w:rsidR="00DE48A0" w:rsidRPr="00EE32B6">
        <w:t xml:space="preserve">. Denne retten </w:t>
      </w:r>
      <w:r w:rsidR="000A0DD2" w:rsidRPr="00EE32B6">
        <w:t>kan også finnes</w:t>
      </w:r>
      <w:r w:rsidR="00D5255B" w:rsidRPr="00EE32B6">
        <w:t xml:space="preserve"> i artikkel 8 i Den Europeiske M</w:t>
      </w:r>
      <w:r w:rsidR="00294741" w:rsidRPr="00EE32B6">
        <w:t>enneskerettighetskonvensjonen (</w:t>
      </w:r>
      <w:r w:rsidR="00AA4AC0">
        <w:t>"</w:t>
      </w:r>
      <w:r w:rsidR="00294741" w:rsidRPr="004A4CD7">
        <w:rPr>
          <w:b/>
          <w:bCs/>
        </w:rPr>
        <w:t>EMK</w:t>
      </w:r>
      <w:r w:rsidR="00AA4AC0">
        <w:t>"</w:t>
      </w:r>
      <w:r w:rsidR="00294741" w:rsidRPr="00EE32B6">
        <w:t>)</w:t>
      </w:r>
      <w:r w:rsidR="00DE48A0" w:rsidRPr="00EE32B6">
        <w:t xml:space="preserve"> som </w:t>
      </w:r>
      <w:r w:rsidR="001841DB" w:rsidRPr="00EE32B6">
        <w:t>er inkorporert i Grunnloven.</w:t>
      </w:r>
    </w:p>
    <w:p w14:paraId="6A21E4DA" w14:textId="488B10FD" w:rsidR="00D5255B" w:rsidRPr="00EE32B6" w:rsidRDefault="006D33CA" w:rsidP="00D5255B">
      <w:r w:rsidRPr="00EE32B6">
        <w:t xml:space="preserve">Ifølge </w:t>
      </w:r>
      <w:r w:rsidR="00B26A6C" w:rsidRPr="00EE32B6">
        <w:t xml:space="preserve">EDPB </w:t>
      </w:r>
      <w:r w:rsidR="00BA1595" w:rsidRPr="00EE32B6">
        <w:t>kan de</w:t>
      </w:r>
      <w:r w:rsidRPr="00EE32B6">
        <w:t xml:space="preserve"> fire kategorier</w:t>
      </w:r>
      <w:r w:rsidR="003B25DE" w:rsidRPr="00EE32B6">
        <w:t xml:space="preserve"> grunnleggende </w:t>
      </w:r>
      <w:r w:rsidRPr="00EE32B6">
        <w:t>garantier</w:t>
      </w:r>
      <w:r w:rsidR="00BA1595" w:rsidRPr="00EE32B6">
        <w:t xml:space="preserve"> beskrives slik</w:t>
      </w:r>
      <w:r w:rsidRPr="00EE32B6">
        <w:t xml:space="preserve">: </w:t>
      </w:r>
    </w:p>
    <w:p w14:paraId="487637C6" w14:textId="6B18FE09" w:rsidR="00F63230" w:rsidRPr="00EE32B6" w:rsidRDefault="00E05FDD" w:rsidP="006D33CA">
      <w:pPr>
        <w:pStyle w:val="Listeavsnitt"/>
        <w:numPr>
          <w:ilvl w:val="0"/>
          <w:numId w:val="26"/>
        </w:numPr>
      </w:pPr>
      <w:r w:rsidRPr="00EE32B6">
        <w:rPr>
          <w:b/>
          <w:bCs/>
        </w:rPr>
        <w:t>Garanti A</w:t>
      </w:r>
      <w:r w:rsidRPr="00EE32B6">
        <w:t xml:space="preserve">: </w:t>
      </w:r>
      <w:r w:rsidR="006D33CA" w:rsidRPr="00EE32B6">
        <w:t>Behandlingen</w:t>
      </w:r>
      <w:r w:rsidR="00083ABC" w:rsidRPr="00EE32B6">
        <w:t xml:space="preserve"> </w:t>
      </w:r>
      <w:r w:rsidR="00FA4DB4" w:rsidRPr="00EE32B6">
        <w:t xml:space="preserve">(tilgangen) </w:t>
      </w:r>
      <w:r w:rsidR="007225FD" w:rsidRPr="00EE32B6">
        <w:t>må være basert på klare og presise regler som er tilgjengelige for offentligheten</w:t>
      </w:r>
      <w:r w:rsidR="00426275" w:rsidRPr="00EE32B6">
        <w:t>.</w:t>
      </w:r>
    </w:p>
    <w:p w14:paraId="45D1BAF9" w14:textId="7B3A6A1C" w:rsidR="00E05FDD" w:rsidRPr="00EE32B6" w:rsidRDefault="00E05FDD" w:rsidP="00F63230">
      <w:pPr>
        <w:pStyle w:val="Listeavsnitt"/>
        <w:numPr>
          <w:ilvl w:val="0"/>
          <w:numId w:val="23"/>
        </w:numPr>
      </w:pPr>
      <w:r w:rsidRPr="00EE32B6">
        <w:rPr>
          <w:b/>
          <w:bCs/>
        </w:rPr>
        <w:t>Garanti B</w:t>
      </w:r>
      <w:r w:rsidRPr="00EE32B6">
        <w:t xml:space="preserve">: </w:t>
      </w:r>
      <w:r w:rsidR="00FA4DB4" w:rsidRPr="00EE32B6">
        <w:t>Behandlingen (t</w:t>
      </w:r>
      <w:r w:rsidR="00D95686" w:rsidRPr="00EE32B6">
        <w:t>ilgangen</w:t>
      </w:r>
      <w:r w:rsidR="00FA4DB4" w:rsidRPr="00EE32B6">
        <w:t>) må</w:t>
      </w:r>
      <w:r w:rsidR="00A84B7C" w:rsidRPr="00EE32B6">
        <w:t xml:space="preserve"> </w:t>
      </w:r>
      <w:r w:rsidR="00FA4DB4" w:rsidRPr="00EE32B6">
        <w:t>være</w:t>
      </w:r>
      <w:r w:rsidR="00A84B7C" w:rsidRPr="00EE32B6">
        <w:t xml:space="preserve"> nødvendig og proporsjonal for å oppnå et </w:t>
      </w:r>
      <w:r w:rsidR="00D95686" w:rsidRPr="00EE32B6">
        <w:t>legitimt formål</w:t>
      </w:r>
      <w:r w:rsidR="00426275" w:rsidRPr="00EE32B6">
        <w:t>.</w:t>
      </w:r>
    </w:p>
    <w:p w14:paraId="1D1F49A8" w14:textId="3AEB8C58" w:rsidR="00D95686" w:rsidRPr="00EE32B6" w:rsidRDefault="00D95686" w:rsidP="00F63230">
      <w:pPr>
        <w:pStyle w:val="Listeavsnitt"/>
        <w:numPr>
          <w:ilvl w:val="0"/>
          <w:numId w:val="23"/>
        </w:numPr>
      </w:pPr>
      <w:r w:rsidRPr="00EE32B6">
        <w:rPr>
          <w:b/>
          <w:bCs/>
        </w:rPr>
        <w:t>Garanti C</w:t>
      </w:r>
      <w:r w:rsidRPr="00EE32B6">
        <w:t xml:space="preserve">: </w:t>
      </w:r>
      <w:r w:rsidR="00813F97" w:rsidRPr="00EE32B6">
        <w:t xml:space="preserve">Det må være et uavhengig </w:t>
      </w:r>
      <w:r w:rsidR="004D53CC" w:rsidRPr="00EE32B6">
        <w:t>tilsynsorgan</w:t>
      </w:r>
      <w:r w:rsidR="00813F97" w:rsidRPr="00EE32B6">
        <w:t xml:space="preserve"> som kan gjennomgå bruken av tilgangen</w:t>
      </w:r>
      <w:r w:rsidR="00426275" w:rsidRPr="00EE32B6">
        <w:t>.</w:t>
      </w:r>
    </w:p>
    <w:p w14:paraId="699F132D" w14:textId="7FA6EEAC" w:rsidR="00813F97" w:rsidRPr="00EE32B6" w:rsidRDefault="00813F97" w:rsidP="00D2621B">
      <w:pPr>
        <w:pStyle w:val="Listeavsnitt"/>
        <w:numPr>
          <w:ilvl w:val="0"/>
          <w:numId w:val="23"/>
        </w:numPr>
      </w:pPr>
      <w:r w:rsidRPr="00EE32B6">
        <w:rPr>
          <w:b/>
          <w:bCs/>
        </w:rPr>
        <w:t>Garanti D</w:t>
      </w:r>
      <w:r w:rsidRPr="00EE32B6">
        <w:t xml:space="preserve">: </w:t>
      </w:r>
      <w:r w:rsidR="00426275" w:rsidRPr="00EE32B6">
        <w:t>De registrerte personene må ha tilgang til effektive rettsmidler dersom deres rettigheter har blitt krenket som følge av myndighetenes tilgang.</w:t>
      </w:r>
    </w:p>
    <w:p w14:paraId="7C27738B" w14:textId="1E185FDC" w:rsidR="00E14D01" w:rsidRPr="00EE32B6" w:rsidRDefault="009338C6" w:rsidP="005F4194">
      <w:r w:rsidRPr="00EE32B6">
        <w:t xml:space="preserve">Hvis alle fire kategorier garantier er til stede, </w:t>
      </w:r>
      <w:r w:rsidR="00103B50" w:rsidRPr="00EE32B6">
        <w:t xml:space="preserve">er personopplysningene godt nok beskyttet ved en overføring. Dersom </w:t>
      </w:r>
      <w:r w:rsidR="0048146B" w:rsidRPr="00EE32B6">
        <w:t xml:space="preserve">minst </w:t>
      </w:r>
      <w:r w:rsidR="00AB7A6E" w:rsidRPr="00EE32B6">
        <w:t>én av garantiene ikke er til stede, må de</w:t>
      </w:r>
      <w:r w:rsidR="00E16A85" w:rsidRPr="00EE32B6">
        <w:t>t</w:t>
      </w:r>
      <w:r w:rsidR="00AB7A6E" w:rsidRPr="00EE32B6">
        <w:t xml:space="preserve"> </w:t>
      </w:r>
      <w:r w:rsidR="005F4194" w:rsidRPr="00EE32B6">
        <w:t>gjennomføre</w:t>
      </w:r>
      <w:r w:rsidR="00E16A85" w:rsidRPr="00EE32B6">
        <w:t>s</w:t>
      </w:r>
      <w:r w:rsidR="005F4194" w:rsidRPr="00EE32B6">
        <w:t xml:space="preserve"> </w:t>
      </w:r>
      <w:r w:rsidR="00AB7A6E" w:rsidRPr="00EE32B6">
        <w:t xml:space="preserve">ytterligere tiltak </w:t>
      </w:r>
      <w:r w:rsidR="005F4194" w:rsidRPr="00EE32B6">
        <w:t xml:space="preserve">for å gi personopplysningene et </w:t>
      </w:r>
      <w:r w:rsidR="00A2448F" w:rsidRPr="00EE32B6">
        <w:t>tilstrekkelig beskyttelsesnivå</w:t>
      </w:r>
      <w:r w:rsidR="004206E6" w:rsidRPr="00EE32B6">
        <w:t>.</w:t>
      </w:r>
      <w:r w:rsidR="00377015" w:rsidRPr="00EE32B6">
        <w:rPr>
          <w:rStyle w:val="Fotnotereferanse"/>
        </w:rPr>
        <w:footnoteReference w:id="18"/>
      </w:r>
    </w:p>
    <w:p w14:paraId="4CA7EE97" w14:textId="61498D9A" w:rsidR="00115046" w:rsidRDefault="00EE5948" w:rsidP="005F4194">
      <w:r>
        <w:t>Landvurderingen inkluderer</w:t>
      </w:r>
      <w:r w:rsidR="00D341FB">
        <w:t xml:space="preserve"> videre</w:t>
      </w:r>
      <w:r>
        <w:t xml:space="preserve"> en gjennomgang av hvordan regelverkene gjennomføres og håndheves i praksis. </w:t>
      </w:r>
      <w:r w:rsidR="00D20A61">
        <w:t xml:space="preserve">Praksis vil i denne </w:t>
      </w:r>
      <w:r w:rsidR="00A479E4">
        <w:t>landvurderingen</w:t>
      </w:r>
      <w:r w:rsidR="00D20A61">
        <w:t xml:space="preserve"> benyttes til to ulike formål avhengig </w:t>
      </w:r>
      <w:r w:rsidR="00C66888">
        <w:t xml:space="preserve">av om de grunnleggende garantiene vurderes oppfylt eller ikke. Dersom </w:t>
      </w:r>
      <w:r w:rsidR="009701BF">
        <w:t>regelverkene man vurderer ikke oppfyller</w:t>
      </w:r>
      <w:r w:rsidR="00554458">
        <w:t xml:space="preserve"> de grunnleggende</w:t>
      </w:r>
      <w:r w:rsidR="009701BF">
        <w:t xml:space="preserve"> garantiene, skal beskrivelse av praksis brukes som et faktagrunnlag inn mot identifiseringen av </w:t>
      </w:r>
      <w:r w:rsidR="005F6E67">
        <w:t xml:space="preserve">aktuelle kompenserende sikkerhetstiltak. Dersom regelverkene man vurderer </w:t>
      </w:r>
      <w:r w:rsidR="005F6E67">
        <w:lastRenderedPageBreak/>
        <w:t>oppfyller</w:t>
      </w:r>
      <w:r w:rsidR="00554458">
        <w:t xml:space="preserve"> de grunnleggende garantiene, skal beskrivelse av praksis brukes for å ver</w:t>
      </w:r>
      <w:r w:rsidR="00D341FB">
        <w:t>i</w:t>
      </w:r>
      <w:r w:rsidR="00554458">
        <w:t>fisere at regelverkene faktisk håndheves slik loven sier.</w:t>
      </w:r>
    </w:p>
    <w:p w14:paraId="7F2BB5DD" w14:textId="77777777" w:rsidR="0041281A" w:rsidRPr="00EE32B6" w:rsidRDefault="0041281A" w:rsidP="005F4194"/>
    <w:p w14:paraId="7F931174" w14:textId="0E9C0415" w:rsidR="007C1BCB" w:rsidRPr="00EE32B6" w:rsidRDefault="00616705" w:rsidP="00241913">
      <w:pPr>
        <w:pStyle w:val="Overskrift3"/>
      </w:pPr>
      <w:bookmarkStart w:id="43" w:name="_Toc175831471"/>
      <w:r>
        <w:t>Regelverk som</w:t>
      </w:r>
      <w:r w:rsidR="00707A3D">
        <w:t xml:space="preserve"> gjelder for</w:t>
      </w:r>
      <w:r w:rsidR="000C4833" w:rsidRPr="00EE32B6">
        <w:t xml:space="preserve"> </w:t>
      </w:r>
      <w:r w:rsidR="00624CAA" w:rsidRPr="00EE32B6">
        <w:t>overføringe</w:t>
      </w:r>
      <w:r w:rsidR="00175968" w:rsidRPr="00EE32B6">
        <w:t>n</w:t>
      </w:r>
      <w:r w:rsidR="00624CAA" w:rsidRPr="00EE32B6">
        <w:t xml:space="preserve"> til Taiwan</w:t>
      </w:r>
      <w:bookmarkEnd w:id="43"/>
      <w:r w:rsidR="00624CAA" w:rsidRPr="00EE32B6">
        <w:t xml:space="preserve"> </w:t>
      </w:r>
    </w:p>
    <w:p w14:paraId="2751C33D" w14:textId="676494FF" w:rsidR="005F4194" w:rsidRPr="00375E65" w:rsidRDefault="00AF7B34" w:rsidP="00AF7B34">
      <w:pPr>
        <w:pStyle w:val="Overskrift4"/>
        <w:numPr>
          <w:ilvl w:val="2"/>
          <w:numId w:val="6"/>
        </w:numPr>
        <w:rPr>
          <w:lang w:val="en-GB"/>
        </w:rPr>
      </w:pPr>
      <w:r w:rsidRPr="00375E65">
        <w:rPr>
          <w:lang w:val="en-GB"/>
        </w:rPr>
        <w:t>Communications and Surveillance Act</w:t>
      </w:r>
      <w:r w:rsidR="005E1AFE" w:rsidRPr="00375E65">
        <w:rPr>
          <w:lang w:val="en-GB"/>
        </w:rPr>
        <w:t xml:space="preserve"> (CSSA)</w:t>
      </w:r>
    </w:p>
    <w:p w14:paraId="5B8E33BA" w14:textId="7CB678A6" w:rsidR="002F5F16" w:rsidRPr="00EE32B6" w:rsidRDefault="00AF7B34" w:rsidP="00A60EC8">
      <w:r w:rsidRPr="00EE32B6">
        <w:t xml:space="preserve">Det er ikke tvilsomt at </w:t>
      </w:r>
      <w:r w:rsidR="00DC74C0" w:rsidRPr="00EE32B6">
        <w:t>personopplysninger</w:t>
      </w:r>
      <w:r w:rsidRPr="00EE32B6">
        <w:t xml:space="preserve"> lagret om norske brukere på datasenter i Taiwan omfattes av kommunikasjonsbegrepet slik det er definert i CSSA artikkel 3, 3-1. Det</w:t>
      </w:r>
      <w:r w:rsidR="00E53DF4">
        <w:t xml:space="preserve"> </w:t>
      </w:r>
      <w:r w:rsidR="00E53DF4" w:rsidRPr="00E53DF4">
        <w:t>Det er også klart at norske brukere av GWE omfattes av begrepet "</w:t>
      </w:r>
      <w:r w:rsidR="00E53DF4">
        <w:t>F</w:t>
      </w:r>
      <w:r w:rsidR="00E53DF4" w:rsidRPr="00E53DF4">
        <w:t xml:space="preserve">oreign </w:t>
      </w:r>
      <w:r w:rsidR="00E53DF4">
        <w:t>F</w:t>
      </w:r>
      <w:r w:rsidR="00E53DF4" w:rsidRPr="00E53DF4">
        <w:t>orces" i artikke</w:t>
      </w:r>
      <w:r w:rsidR="00ED6642">
        <w:t xml:space="preserve">l </w:t>
      </w:r>
      <w:r w:rsidR="00201886">
        <w:t>8</w:t>
      </w:r>
      <w:r w:rsidR="00E53DF4" w:rsidRPr="00E53DF4">
        <w:t>.</w:t>
      </w:r>
    </w:p>
    <w:p w14:paraId="1F940C6F" w14:textId="28AE9F57" w:rsidR="00A60EC8" w:rsidRPr="00EE32B6" w:rsidRDefault="00A60EC8" w:rsidP="00AF7B34">
      <w:r w:rsidRPr="00EE32B6">
        <w:t xml:space="preserve">Prosjektet legger med dette til grunn at CSSA kan komme til anvendelse på data om norske brukere av GWE lagret i Taiwan. </w:t>
      </w:r>
    </w:p>
    <w:p w14:paraId="2B6998D2" w14:textId="4659C1FE" w:rsidR="00AF7B34" w:rsidRPr="002348B1" w:rsidRDefault="00AF7B34" w:rsidP="00066791">
      <w:pPr>
        <w:pStyle w:val="Overskrift4"/>
        <w:numPr>
          <w:ilvl w:val="2"/>
          <w:numId w:val="6"/>
        </w:numPr>
        <w:rPr>
          <w:lang w:val="en-GB"/>
        </w:rPr>
      </w:pPr>
      <w:r w:rsidRPr="002348B1">
        <w:rPr>
          <w:lang w:val="en-GB"/>
        </w:rPr>
        <w:t>Telecommunications Act</w:t>
      </w:r>
      <w:r w:rsidR="004D7153" w:rsidRPr="002348B1">
        <w:rPr>
          <w:lang w:val="en-GB"/>
        </w:rPr>
        <w:t xml:space="preserve"> (TA)</w:t>
      </w:r>
      <w:r w:rsidRPr="002348B1">
        <w:rPr>
          <w:lang w:val="en-GB"/>
        </w:rPr>
        <w:t xml:space="preserve"> og Telecommunications Management Act</w:t>
      </w:r>
      <w:r w:rsidR="004D7153" w:rsidRPr="002348B1">
        <w:rPr>
          <w:lang w:val="en-GB"/>
        </w:rPr>
        <w:t xml:space="preserve"> (TMA)</w:t>
      </w:r>
    </w:p>
    <w:p w14:paraId="45F47932" w14:textId="02C85B36" w:rsidR="00F548DD" w:rsidRPr="00EE32B6" w:rsidRDefault="00D918F0" w:rsidP="00175968">
      <w:r w:rsidRPr="00EE32B6">
        <w:t>TMA og TA inneholder bestemmelser som har til formål å sikre statens mulighet til å inndrive kommunikasjon og annen data</w:t>
      </w:r>
      <w:r w:rsidR="00443DEF" w:rsidRPr="00EE32B6">
        <w:t xml:space="preserve"> </w:t>
      </w:r>
      <w:r w:rsidR="005E6DD2" w:rsidRPr="00EE32B6">
        <w:t>inn mot</w:t>
      </w:r>
      <w:r w:rsidRPr="00EE32B6">
        <w:t xml:space="preserve"> ulike </w:t>
      </w:r>
      <w:r w:rsidR="0040659C" w:rsidRPr="00EE32B6">
        <w:t xml:space="preserve">statlige </w:t>
      </w:r>
      <w:r w:rsidRPr="00EE32B6">
        <w:t xml:space="preserve">etterforsknings- </w:t>
      </w:r>
      <w:r w:rsidR="0040659C" w:rsidRPr="00EE32B6">
        <w:t>og</w:t>
      </w:r>
      <w:r w:rsidR="000F1B24" w:rsidRPr="00EE32B6">
        <w:t xml:space="preserve">/eller </w:t>
      </w:r>
      <w:r w:rsidRPr="00EE32B6">
        <w:t>overvåkning</w:t>
      </w:r>
      <w:r w:rsidR="0040659C" w:rsidRPr="00EE32B6">
        <w:t>prosesser</w:t>
      </w:r>
      <w:r w:rsidRPr="00EE32B6">
        <w:t>.</w:t>
      </w:r>
      <w:r w:rsidR="00123B95" w:rsidRPr="00EE32B6">
        <w:t xml:space="preserve"> </w:t>
      </w:r>
      <w:r w:rsidR="0097776C" w:rsidRPr="00EE32B6">
        <w:t>I praksis involverer dette</w:t>
      </w:r>
      <w:r w:rsidR="006132B0" w:rsidRPr="00EE32B6">
        <w:t xml:space="preserve"> </w:t>
      </w:r>
      <w:r w:rsidR="00210D49" w:rsidRPr="00EE32B6">
        <w:t xml:space="preserve">tvungen </w:t>
      </w:r>
      <w:r w:rsidR="00F3700F" w:rsidRPr="00EE32B6">
        <w:t>assistanse</w:t>
      </w:r>
      <w:r w:rsidR="0097776C" w:rsidRPr="00EE32B6">
        <w:t xml:space="preserve"> og tilgjengeliggjøring</w:t>
      </w:r>
      <w:r w:rsidR="001B3303" w:rsidRPr="00EE32B6">
        <w:t xml:space="preserve"> av</w:t>
      </w:r>
      <w:r w:rsidR="00F3700F" w:rsidRPr="00EE32B6">
        <w:t xml:space="preserve"> systemer og infrastruktur</w:t>
      </w:r>
      <w:r w:rsidR="0097776C" w:rsidRPr="00EE32B6">
        <w:t xml:space="preserve"> </w:t>
      </w:r>
      <w:r w:rsidR="00F3700F" w:rsidRPr="00EE32B6">
        <w:t>slik at kommunikasjon og data kan deles</w:t>
      </w:r>
      <w:r w:rsidR="001B3303" w:rsidRPr="00EE32B6">
        <w:t>.</w:t>
      </w:r>
      <w:r w:rsidR="00356FAC" w:rsidRPr="00EE32B6">
        <w:t xml:space="preserve"> I det videre vil TMA og TA vurderes likt.</w:t>
      </w:r>
    </w:p>
    <w:p w14:paraId="0A8BEDE0" w14:textId="77777777" w:rsidR="000D30CA" w:rsidRPr="00EE32B6" w:rsidRDefault="002A54C0" w:rsidP="00175968">
      <w:r w:rsidRPr="00EE32B6">
        <w:t>I den forbindelse er det</w:t>
      </w:r>
      <w:r w:rsidR="000B5A31" w:rsidRPr="00EE32B6">
        <w:t xml:space="preserve"> «</w:t>
      </w:r>
      <w:proofErr w:type="spellStart"/>
      <w:r w:rsidR="000B5A31" w:rsidRPr="00EE32B6">
        <w:t>telecommunication</w:t>
      </w:r>
      <w:proofErr w:type="spellEnd"/>
      <w:r w:rsidR="000B5A31" w:rsidRPr="00EE32B6">
        <w:t xml:space="preserve"> </w:t>
      </w:r>
      <w:proofErr w:type="spellStart"/>
      <w:r w:rsidR="000B5A31" w:rsidRPr="00EE32B6">
        <w:t>enterprises</w:t>
      </w:r>
      <w:proofErr w:type="spellEnd"/>
      <w:r w:rsidR="000B5A31" w:rsidRPr="00EE32B6">
        <w:t>», eller telekommunikasjonsoperatører som</w:t>
      </w:r>
      <w:r w:rsidR="000123CD" w:rsidRPr="00EE32B6">
        <w:t xml:space="preserve"> </w:t>
      </w:r>
      <w:r w:rsidR="006F4E11" w:rsidRPr="00EE32B6">
        <w:t xml:space="preserve">er </w:t>
      </w:r>
      <w:r w:rsidR="000B5A31" w:rsidRPr="00EE32B6">
        <w:t>pliktsubjekter</w:t>
      </w:r>
      <w:r w:rsidR="00862643" w:rsidRPr="00EE32B6">
        <w:t xml:space="preserve"> etter </w:t>
      </w:r>
      <w:r w:rsidR="006F4E11" w:rsidRPr="00EE32B6">
        <w:t>TMA og TA</w:t>
      </w:r>
      <w:r w:rsidR="000B5A31" w:rsidRPr="00EE32B6">
        <w:t>.</w:t>
      </w:r>
      <w:r w:rsidR="00281475" w:rsidRPr="00EE32B6">
        <w:t xml:space="preserve"> </w:t>
      </w:r>
      <w:r w:rsidR="00862643" w:rsidRPr="00EE32B6">
        <w:t>Begrepet telekommunikasjonsoperatør</w:t>
      </w:r>
      <w:r w:rsidR="00281475" w:rsidRPr="00EE32B6">
        <w:t xml:space="preserve"> omfatter aktører som er registrert i tråd med «</w:t>
      </w:r>
      <w:proofErr w:type="spellStart"/>
      <w:r w:rsidR="00281475" w:rsidRPr="00EE32B6">
        <w:t>Act</w:t>
      </w:r>
      <w:proofErr w:type="spellEnd"/>
      <w:r w:rsidR="00281475" w:rsidRPr="00EE32B6">
        <w:t xml:space="preserve"> to </w:t>
      </w:r>
      <w:proofErr w:type="spellStart"/>
      <w:r w:rsidR="00281475" w:rsidRPr="00EE32B6">
        <w:t>provide</w:t>
      </w:r>
      <w:proofErr w:type="spellEnd"/>
      <w:r w:rsidR="00281475" w:rsidRPr="00EE32B6">
        <w:t xml:space="preserve"> </w:t>
      </w:r>
      <w:proofErr w:type="spellStart"/>
      <w:r w:rsidR="00281475" w:rsidRPr="00EE32B6">
        <w:t>telecommunications</w:t>
      </w:r>
      <w:proofErr w:type="spellEnd"/>
      <w:r w:rsidR="00281475" w:rsidRPr="00EE32B6">
        <w:t xml:space="preserve"> services», og som leverer «</w:t>
      </w:r>
      <w:proofErr w:type="spellStart"/>
      <w:r w:rsidR="00281475" w:rsidRPr="00EE32B6">
        <w:t>telecommunications</w:t>
      </w:r>
      <w:proofErr w:type="spellEnd"/>
      <w:r w:rsidR="00281475" w:rsidRPr="00EE32B6">
        <w:t xml:space="preserve"> services». </w:t>
      </w:r>
    </w:p>
    <w:p w14:paraId="4169BA9A" w14:textId="4BCF105D" w:rsidR="00F13294" w:rsidRDefault="00281475" w:rsidP="00175968">
      <w:r w:rsidRPr="00EE32B6">
        <w:t>Telekommunikasjonstjenester («</w:t>
      </w:r>
      <w:proofErr w:type="spellStart"/>
      <w:r w:rsidRPr="00EE32B6">
        <w:t>telecommunications</w:t>
      </w:r>
      <w:proofErr w:type="spellEnd"/>
      <w:r w:rsidRPr="00EE32B6">
        <w:t xml:space="preserve"> services») begrenses videre til telekommunikasjon overført via </w:t>
      </w:r>
      <w:r w:rsidR="00176114" w:rsidRPr="00EE32B6">
        <w:t xml:space="preserve">«PSTN» (Public </w:t>
      </w:r>
      <w:proofErr w:type="spellStart"/>
      <w:r w:rsidR="00176114" w:rsidRPr="00EE32B6">
        <w:t>Switched</w:t>
      </w:r>
      <w:proofErr w:type="spellEnd"/>
      <w:r w:rsidR="00176114" w:rsidRPr="00EE32B6">
        <w:t xml:space="preserve"> Telephone Network)</w:t>
      </w:r>
      <w:r w:rsidR="002203A9" w:rsidRPr="00EE32B6">
        <w:t xml:space="preserve"> -</w:t>
      </w:r>
      <w:r w:rsidR="000D30CA" w:rsidRPr="00EE32B6">
        <w:t xml:space="preserve"> </w:t>
      </w:r>
      <w:r w:rsidR="00176114" w:rsidRPr="00EE32B6">
        <w:t xml:space="preserve">oversatt til </w:t>
      </w:r>
      <w:r w:rsidRPr="00EE32B6">
        <w:t>det linjesvitsjede telefonnettverket</w:t>
      </w:r>
      <w:r w:rsidR="00C2187B">
        <w:t xml:space="preserve"> </w:t>
      </w:r>
      <w:r w:rsidR="00A44304">
        <w:t>(mobil- og fasttelefonnettverket)</w:t>
      </w:r>
      <w:r w:rsidRPr="00EE32B6">
        <w:t>.</w:t>
      </w:r>
      <w:r w:rsidR="00E31B39" w:rsidRPr="00EE32B6">
        <w:t xml:space="preserve"> </w:t>
      </w:r>
      <w:r w:rsidR="005D2636" w:rsidRPr="00EE32B6">
        <w:t>PSTN</w:t>
      </w:r>
      <w:r w:rsidR="00F00667" w:rsidRPr="00EE32B6">
        <w:t xml:space="preserve"> utgjør den fysiske telekominfrastrukturen</w:t>
      </w:r>
      <w:r w:rsidR="00020402">
        <w:t xml:space="preserve">. Slik </w:t>
      </w:r>
      <w:r w:rsidR="001B3303" w:rsidRPr="00EE32B6">
        <w:t>prosjektet</w:t>
      </w:r>
      <w:r w:rsidR="00020402">
        <w:t xml:space="preserve"> ser det er PSTN en</w:t>
      </w:r>
      <w:r w:rsidR="00BC070D" w:rsidRPr="00EE32B6">
        <w:t xml:space="preserve"> </w:t>
      </w:r>
      <w:r w:rsidR="00020402">
        <w:t>fastlinje</w:t>
      </w:r>
      <w:r w:rsidR="00BC070D" w:rsidRPr="00EE32B6">
        <w:t>basert</w:t>
      </w:r>
      <w:r w:rsidR="00020402">
        <w:t>, tradisjonell</w:t>
      </w:r>
      <w:r w:rsidR="00BC070D" w:rsidRPr="00EE32B6">
        <w:t xml:space="preserve"> telefon</w:t>
      </w:r>
      <w:r w:rsidR="00020402">
        <w:t>itjeneste</w:t>
      </w:r>
      <w:r w:rsidR="0004167D">
        <w:t>,</w:t>
      </w:r>
      <w:r w:rsidR="00020402">
        <w:t xml:space="preserve"> ikke en skylagringstjeneste.</w:t>
      </w:r>
      <w:r w:rsidR="00071669" w:rsidRPr="00EE32B6">
        <w:t xml:space="preserve"> </w:t>
      </w:r>
      <w:r w:rsidR="0004167D">
        <w:t>Prosjektet mener derfor at d</w:t>
      </w:r>
      <w:r w:rsidR="00597D30" w:rsidRPr="00EE32B6">
        <w:t xml:space="preserve">en bestemte </w:t>
      </w:r>
      <w:r w:rsidR="001A2ECF" w:rsidRPr="00EE32B6">
        <w:t xml:space="preserve">tjenestekonfigurasjonen </w:t>
      </w:r>
      <w:r w:rsidR="005221CC" w:rsidRPr="00EE32B6">
        <w:t>av</w:t>
      </w:r>
      <w:r w:rsidR="005F2E0B" w:rsidRPr="00EE32B6">
        <w:t xml:space="preserve"> </w:t>
      </w:r>
      <w:r w:rsidR="00E65252" w:rsidRPr="00EE32B6">
        <w:t xml:space="preserve">Google Workspace for </w:t>
      </w:r>
      <w:proofErr w:type="spellStart"/>
      <w:r w:rsidR="00E65252" w:rsidRPr="00EE32B6">
        <w:t>Education</w:t>
      </w:r>
      <w:proofErr w:type="spellEnd"/>
      <w:r w:rsidR="005F2E0B" w:rsidRPr="00EE32B6">
        <w:t xml:space="preserve"> i norske skoler</w:t>
      </w:r>
      <w:r w:rsidR="00020402">
        <w:t xml:space="preserve"> </w:t>
      </w:r>
      <w:r w:rsidR="00E93081">
        <w:t>ikke kvalifiserer</w:t>
      </w:r>
      <w:r w:rsidR="0004167D">
        <w:t xml:space="preserve"> som </w:t>
      </w:r>
      <w:r w:rsidR="00A41BBE" w:rsidRPr="00EE32B6">
        <w:t>PSTN i Taiwan.</w:t>
      </w:r>
    </w:p>
    <w:p w14:paraId="3568496E" w14:textId="77777777" w:rsidR="00F13294" w:rsidRDefault="00F13294" w:rsidP="00F13294">
      <w:pPr>
        <w:jc w:val="center"/>
      </w:pPr>
      <w:r>
        <w:rPr>
          <w:noProof/>
        </w:rPr>
        <w:drawing>
          <wp:inline distT="0" distB="0" distL="0" distR="0" wp14:anchorId="34852D25" wp14:editId="7421AC4B">
            <wp:extent cx="2758440" cy="2283627"/>
            <wp:effectExtent l="0" t="0" r="3810" b="2540"/>
            <wp:docPr id="315829096"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60892" name="Bilde 1" descr="Et bilde som inneholder tekst, skjermbilde, Font, nummer&#10;&#10;Automatisk generert beskrivels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71530" cy="2294464"/>
                    </a:xfrm>
                    <a:prstGeom prst="rect">
                      <a:avLst/>
                    </a:prstGeom>
                    <a:noFill/>
                    <a:ln>
                      <a:noFill/>
                    </a:ln>
                  </pic:spPr>
                </pic:pic>
              </a:graphicData>
            </a:graphic>
          </wp:inline>
        </w:drawing>
      </w:r>
    </w:p>
    <w:p w14:paraId="7CD5E37D" w14:textId="08396C6E" w:rsidR="00F13294" w:rsidRPr="00DD2F8A" w:rsidRDefault="00F13294" w:rsidP="00F13294">
      <w:pPr>
        <w:rPr>
          <w:sz w:val="20"/>
          <w:szCs w:val="20"/>
        </w:rPr>
      </w:pPr>
      <w:r w:rsidRPr="00DD2F8A">
        <w:rPr>
          <w:sz w:val="20"/>
          <w:szCs w:val="20"/>
        </w:rPr>
        <w:t>(</w:t>
      </w:r>
      <w:hyperlink r:id="rId16" w:history="1">
        <w:r w:rsidR="000135B6" w:rsidRPr="00296659">
          <w:rPr>
            <w:rStyle w:val="Hyperkobling"/>
            <w:sz w:val="20"/>
            <w:szCs w:val="20"/>
          </w:rPr>
          <w:t>https://cdn.codegym.cc/images/article/3effcdd0-5b89-4574-b154-c2c1c65d945d/512.jpeg</w:t>
        </w:r>
      </w:hyperlink>
      <w:r w:rsidRPr="00DD2F8A">
        <w:rPr>
          <w:sz w:val="20"/>
          <w:szCs w:val="20"/>
        </w:rPr>
        <w:t xml:space="preserve">) </w:t>
      </w:r>
    </w:p>
    <w:p w14:paraId="18B320C5" w14:textId="77777777" w:rsidR="00F13294" w:rsidRDefault="00F13294" w:rsidP="00175968"/>
    <w:p w14:paraId="43DAD427" w14:textId="77777777" w:rsidR="000135B6" w:rsidRPr="00EE32B6" w:rsidRDefault="000135B6" w:rsidP="00175968"/>
    <w:p w14:paraId="2147416D" w14:textId="1DF1B2E5" w:rsidR="009C2FC7" w:rsidRPr="00EE32B6" w:rsidRDefault="00B33A8B" w:rsidP="00175968">
      <w:r w:rsidRPr="00EE32B6">
        <w:lastRenderedPageBreak/>
        <w:t xml:space="preserve">Bruk av Google Workspace for </w:t>
      </w:r>
      <w:proofErr w:type="spellStart"/>
      <w:r w:rsidRPr="00EE32B6">
        <w:t>Education</w:t>
      </w:r>
      <w:proofErr w:type="spellEnd"/>
      <w:r w:rsidRPr="00EE32B6">
        <w:t xml:space="preserve"> med</w:t>
      </w:r>
      <w:r w:rsidR="00413286">
        <w:t xml:space="preserve"> </w:t>
      </w:r>
      <w:r w:rsidRPr="00EE32B6">
        <w:t>s</w:t>
      </w:r>
      <w:r w:rsidR="00F91869" w:rsidRPr="00EE32B6">
        <w:t>kylagring</w:t>
      </w:r>
      <w:r w:rsidR="00C92C87">
        <w:t xml:space="preserve"> i</w:t>
      </w:r>
      <w:r w:rsidR="00F91869" w:rsidRPr="00EE32B6">
        <w:t xml:space="preserve"> Taiwan</w:t>
      </w:r>
      <w:r w:rsidRPr="00EE32B6">
        <w:t xml:space="preserve"> </w:t>
      </w:r>
      <w:r w:rsidR="00AB6A0E" w:rsidRPr="00EE32B6">
        <w:t xml:space="preserve">vil </w:t>
      </w:r>
      <w:r w:rsidR="0004167D">
        <w:t xml:space="preserve">med andre ord </w:t>
      </w:r>
      <w:r w:rsidRPr="00EE32B6">
        <w:t xml:space="preserve">falle utenfor regelverkets </w:t>
      </w:r>
      <w:r w:rsidR="0004167D">
        <w:t>virkeområde.</w:t>
      </w:r>
      <w:r w:rsidR="004D047B">
        <w:t xml:space="preserve"> L</w:t>
      </w:r>
      <w:r w:rsidR="00F37857" w:rsidRPr="004D047B">
        <w:t>okal ekspertise</w:t>
      </w:r>
      <w:r w:rsidR="004D047B">
        <w:t xml:space="preserve"> i Taiwan</w:t>
      </w:r>
      <w:r w:rsidR="00F37857" w:rsidRPr="004D047B">
        <w:t xml:space="preserve"> </w:t>
      </w:r>
      <w:r w:rsidR="00734B15" w:rsidRPr="004D047B">
        <w:t xml:space="preserve">ved </w:t>
      </w:r>
      <w:r w:rsidR="00571BF4" w:rsidRPr="004D047B">
        <w:t xml:space="preserve">Advokatfirmaet </w:t>
      </w:r>
      <w:proofErr w:type="spellStart"/>
      <w:r w:rsidR="00571BF4" w:rsidRPr="004D047B">
        <w:t>Nishimura</w:t>
      </w:r>
      <w:proofErr w:type="spellEnd"/>
      <w:r w:rsidR="00571BF4" w:rsidRPr="004D047B">
        <w:t xml:space="preserve"> &amp; Asahi Taiwan</w:t>
      </w:r>
      <w:r w:rsidR="004D047B">
        <w:t xml:space="preserve"> støtter denne forståelsen</w:t>
      </w:r>
      <w:r w:rsidR="00571BF4" w:rsidRPr="004D047B">
        <w:t xml:space="preserve">, se vedlegg. </w:t>
      </w:r>
    </w:p>
    <w:p w14:paraId="236C6344" w14:textId="7499CC14" w:rsidR="000135B6" w:rsidRDefault="00356FAC" w:rsidP="00175968">
      <w:r w:rsidRPr="00EE32B6">
        <w:t xml:space="preserve">Prosjektet legger med dette til grunn at TMA og TA ikke vil komme til anvendelse på </w:t>
      </w:r>
      <w:r w:rsidR="00F6047C">
        <w:t>personopplysninger</w:t>
      </w:r>
      <w:r w:rsidRPr="00EE32B6">
        <w:t xml:space="preserve"> om norske brukere av GWE lagret i Taiwan. </w:t>
      </w:r>
    </w:p>
    <w:p w14:paraId="33394E2A" w14:textId="77777777" w:rsidR="0041281A" w:rsidRPr="00EE32B6" w:rsidRDefault="0041281A" w:rsidP="00175968"/>
    <w:p w14:paraId="61570AA4" w14:textId="5FD5AC72" w:rsidR="00F57C3D" w:rsidRPr="00EE32B6" w:rsidRDefault="00F57C3D" w:rsidP="00241913">
      <w:pPr>
        <w:pStyle w:val="Overskrift3"/>
      </w:pPr>
      <w:bookmarkStart w:id="44" w:name="_Toc175831472"/>
      <w:r w:rsidRPr="00EE32B6">
        <w:t>Vurdering</w:t>
      </w:r>
      <w:r w:rsidR="005E594A" w:rsidRPr="00EE32B6">
        <w:t xml:space="preserve"> av</w:t>
      </w:r>
      <w:r w:rsidR="00AA143C" w:rsidRPr="00EE32B6">
        <w:t xml:space="preserve"> regelverkene som gjelder for overføringen</w:t>
      </w:r>
      <w:bookmarkEnd w:id="44"/>
      <w:r w:rsidR="005E594A" w:rsidRPr="00EE32B6">
        <w:t xml:space="preserve"> </w:t>
      </w:r>
    </w:p>
    <w:p w14:paraId="11B7F58D" w14:textId="77777777" w:rsidR="00F57C3D" w:rsidRPr="00BA489A" w:rsidRDefault="00F57C3D" w:rsidP="00F57C3D">
      <w:pPr>
        <w:pStyle w:val="Overskrift4"/>
        <w:numPr>
          <w:ilvl w:val="2"/>
          <w:numId w:val="6"/>
        </w:numPr>
        <w:rPr>
          <w:lang w:val="en-GB"/>
        </w:rPr>
      </w:pPr>
      <w:r w:rsidRPr="00BA489A">
        <w:rPr>
          <w:lang w:val="en-GB"/>
        </w:rPr>
        <w:t>Communications and Surveillance Act (CSSA)</w:t>
      </w:r>
    </w:p>
    <w:p w14:paraId="030D46CB" w14:textId="49A0D80A" w:rsidR="008A53A4" w:rsidRPr="00EE32B6" w:rsidRDefault="008A53A4" w:rsidP="008A53A4">
      <w:pPr>
        <w:pStyle w:val="Overskrift4"/>
        <w:numPr>
          <w:ilvl w:val="3"/>
          <w:numId w:val="6"/>
        </w:numPr>
      </w:pPr>
      <w:r w:rsidRPr="00EE32B6">
        <w:t xml:space="preserve">Garanti A: Klare og presise regler som er tilgjengelige for </w:t>
      </w:r>
      <w:r w:rsidR="00CF7CE9" w:rsidRPr="00EE32B6">
        <w:t>allmennheten</w:t>
      </w:r>
      <w:r w:rsidRPr="00EE32B6">
        <w:t>.</w:t>
      </w:r>
    </w:p>
    <w:p w14:paraId="51125E16" w14:textId="654A6E17" w:rsidR="006D7F75" w:rsidRPr="00EE32B6" w:rsidRDefault="00397850" w:rsidP="00AF7B34">
      <w:r w:rsidRPr="00EE32B6">
        <w:t>D</w:t>
      </w:r>
      <w:r w:rsidR="00BB02DF" w:rsidRPr="00EE32B6">
        <w:t>et europeiske personvernrådet</w:t>
      </w:r>
      <w:r w:rsidRPr="00EE32B6">
        <w:t xml:space="preserve"> </w:t>
      </w:r>
      <w:r w:rsidR="00C7268B" w:rsidRPr="00EE32B6">
        <w:t>oppsummerer</w:t>
      </w:r>
      <w:r w:rsidR="00C83854" w:rsidRPr="00EE32B6">
        <w:t xml:space="preserve"> i sin</w:t>
      </w:r>
      <w:r w:rsidRPr="00EE32B6">
        <w:t xml:space="preserve"> veiledning</w:t>
      </w:r>
      <w:r w:rsidR="00BB02DF" w:rsidRPr="00EE32B6">
        <w:t xml:space="preserve"> </w:t>
      </w:r>
      <w:r w:rsidR="00FE39A6" w:rsidRPr="00EE32B6">
        <w:t xml:space="preserve">noen </w:t>
      </w:r>
      <w:r w:rsidR="0045462E" w:rsidRPr="00EE32B6">
        <w:t>sentrale momenter</w:t>
      </w:r>
      <w:r w:rsidRPr="00EE32B6">
        <w:t xml:space="preserve"> når tilstedeværelsen av </w:t>
      </w:r>
      <w:r w:rsidR="0099488C" w:rsidRPr="00EE32B6">
        <w:t>de fire garantiene</w:t>
      </w:r>
      <w:r w:rsidRPr="00EE32B6">
        <w:t xml:space="preserve"> skal vurderes</w:t>
      </w:r>
      <w:r w:rsidR="00E3048F" w:rsidRPr="00EE32B6">
        <w:t xml:space="preserve">. </w:t>
      </w:r>
      <w:r w:rsidR="00D74752" w:rsidRPr="00EE32B6">
        <w:t>V</w:t>
      </w:r>
      <w:r w:rsidR="00C7268B" w:rsidRPr="00EE32B6">
        <w:t>eiledningen er</w:t>
      </w:r>
      <w:r w:rsidR="00D74752" w:rsidRPr="00EE32B6">
        <w:t xml:space="preserve"> b</w:t>
      </w:r>
      <w:r w:rsidR="00050CE6" w:rsidRPr="00EE32B6">
        <w:t>l.a.</w:t>
      </w:r>
      <w:r w:rsidR="00C7268B" w:rsidRPr="00EE32B6">
        <w:t xml:space="preserve"> basert på </w:t>
      </w:r>
      <w:r w:rsidR="00A52049" w:rsidRPr="00EE32B6">
        <w:t xml:space="preserve">rettspraksis fra Court </w:t>
      </w:r>
      <w:proofErr w:type="spellStart"/>
      <w:r w:rsidR="00A52049" w:rsidRPr="00EE32B6">
        <w:t>of</w:t>
      </w:r>
      <w:proofErr w:type="spellEnd"/>
      <w:r w:rsidR="00A52049" w:rsidRPr="00EE32B6">
        <w:t xml:space="preserve"> </w:t>
      </w:r>
      <w:proofErr w:type="spellStart"/>
      <w:r w:rsidR="00A52049" w:rsidRPr="00EE32B6">
        <w:t>Justice</w:t>
      </w:r>
      <w:proofErr w:type="spellEnd"/>
      <w:r w:rsidR="001C5920" w:rsidRPr="00EE32B6">
        <w:t xml:space="preserve"> European Union</w:t>
      </w:r>
      <w:r w:rsidR="00A52049" w:rsidRPr="00EE32B6">
        <w:t xml:space="preserve"> (</w:t>
      </w:r>
      <w:r w:rsidR="001C5920" w:rsidRPr="00EE32B6">
        <w:t>CJEU</w:t>
      </w:r>
      <w:r w:rsidR="00A52049" w:rsidRPr="00EE32B6">
        <w:t>) og</w:t>
      </w:r>
      <w:r w:rsidR="00994D79" w:rsidRPr="00EE32B6">
        <w:t xml:space="preserve"> European Court </w:t>
      </w:r>
      <w:proofErr w:type="spellStart"/>
      <w:r w:rsidR="00994D79" w:rsidRPr="00EE32B6">
        <w:t>of</w:t>
      </w:r>
      <w:proofErr w:type="spellEnd"/>
      <w:r w:rsidR="00994D79" w:rsidRPr="00EE32B6">
        <w:t xml:space="preserve"> Human Rights (</w:t>
      </w:r>
      <w:proofErr w:type="spellStart"/>
      <w:r w:rsidR="00994D79" w:rsidRPr="00EE32B6">
        <w:t>ECtHR</w:t>
      </w:r>
      <w:proofErr w:type="spellEnd"/>
      <w:r w:rsidR="00D74752" w:rsidRPr="00EE32B6">
        <w:t>).</w:t>
      </w:r>
      <w:r w:rsidR="00A52049" w:rsidRPr="00EE32B6">
        <w:t xml:space="preserve"> </w:t>
      </w:r>
      <w:r w:rsidR="0045462E" w:rsidRPr="00EE32B6">
        <w:rPr>
          <w:rStyle w:val="Fotnotereferanse"/>
        </w:rPr>
        <w:footnoteReference w:id="19"/>
      </w:r>
    </w:p>
    <w:p w14:paraId="5A4D76CB" w14:textId="1FA63608" w:rsidR="003102E1" w:rsidRPr="00EE32B6" w:rsidRDefault="002D57F1" w:rsidP="00AF7B34">
      <w:r w:rsidRPr="00EE32B6">
        <w:t>I vurderingen av</w:t>
      </w:r>
      <w:r w:rsidR="00AD515B" w:rsidRPr="00EE32B6">
        <w:t xml:space="preserve"> garanti A er </w:t>
      </w:r>
      <w:r w:rsidR="003102E1" w:rsidRPr="00EE32B6">
        <w:t xml:space="preserve">følgende </w:t>
      </w:r>
      <w:r w:rsidR="00E96D27" w:rsidRPr="00EE32B6">
        <w:t>spørsmål og vurderingstema</w:t>
      </w:r>
      <w:r w:rsidR="003102E1" w:rsidRPr="00EE32B6">
        <w:t xml:space="preserve"> av </w:t>
      </w:r>
      <w:r w:rsidR="00472EE1" w:rsidRPr="00EE32B6">
        <w:t>betydning</w:t>
      </w:r>
      <w:r w:rsidR="003102E1" w:rsidRPr="00EE32B6">
        <w:t>:</w:t>
      </w:r>
    </w:p>
    <w:p w14:paraId="01ECABA3" w14:textId="39A7F0E3" w:rsidR="008D2E2D" w:rsidRPr="00EE32B6" w:rsidRDefault="00E96D27" w:rsidP="004472BC">
      <w:pPr>
        <w:pStyle w:val="Listeavsnitt"/>
        <w:numPr>
          <w:ilvl w:val="0"/>
          <w:numId w:val="29"/>
        </w:numPr>
      </w:pPr>
      <w:r w:rsidRPr="00EE32B6">
        <w:t xml:space="preserve">Er hjemlene for overvåkning tilstrekkelig klare og presise når det gjelder inngrepenes </w:t>
      </w:r>
      <w:r w:rsidR="00F879D3" w:rsidRPr="00EE32B6">
        <w:t>rekkevidde</w:t>
      </w:r>
      <w:r w:rsidRPr="00EE32B6">
        <w:t xml:space="preserve"> og </w:t>
      </w:r>
      <w:r w:rsidR="00F879D3" w:rsidRPr="00EE32B6">
        <w:t>omfang?</w:t>
      </w:r>
      <w:r w:rsidR="00BB36CE" w:rsidRPr="00EE32B6">
        <w:t xml:space="preserve"> </w:t>
      </w:r>
      <w:r w:rsidR="00B1039E" w:rsidRPr="00EE32B6">
        <w:rPr>
          <w:rStyle w:val="Fotnotereferanse"/>
        </w:rPr>
        <w:footnoteReference w:id="20"/>
      </w:r>
    </w:p>
    <w:p w14:paraId="0B61D97E" w14:textId="7AD10010" w:rsidR="00E3048F" w:rsidRPr="00EE32B6" w:rsidRDefault="00F879D3" w:rsidP="004472BC">
      <w:pPr>
        <w:pStyle w:val="Listeavsnitt"/>
        <w:numPr>
          <w:ilvl w:val="0"/>
          <w:numId w:val="29"/>
        </w:numPr>
      </w:pPr>
      <w:r w:rsidRPr="00EE32B6">
        <w:t>Er det tilstrekkelig klarlagt</w:t>
      </w:r>
      <w:r w:rsidR="001B1C21" w:rsidRPr="00EE32B6">
        <w:t xml:space="preserve"> når overvåkning kan finnes sted, herunder</w:t>
      </w:r>
      <w:r w:rsidR="00DB21AF" w:rsidRPr="00EE32B6">
        <w:t xml:space="preserve"> hvilke situasjoner </w:t>
      </w:r>
      <w:r w:rsidR="00052F91" w:rsidRPr="00EE32B6">
        <w:t xml:space="preserve">og </w:t>
      </w:r>
      <w:r w:rsidR="00C74582" w:rsidRPr="00EE32B6">
        <w:t xml:space="preserve">omstendigheter som kan være </w:t>
      </w:r>
      <w:r w:rsidR="002E26D3" w:rsidRPr="00EE32B6">
        <w:t xml:space="preserve">rettslig </w:t>
      </w:r>
      <w:r w:rsidR="00C74582" w:rsidRPr="00EE32B6">
        <w:t>utløsende for overvåkning</w:t>
      </w:r>
      <w:r w:rsidRPr="00EE32B6">
        <w:t>?</w:t>
      </w:r>
      <w:r w:rsidR="00BB36CE" w:rsidRPr="00EE32B6">
        <w:t xml:space="preserve"> </w:t>
      </w:r>
      <w:r w:rsidR="00154AA3" w:rsidRPr="00EE32B6">
        <w:rPr>
          <w:rStyle w:val="Fotnotereferanse"/>
        </w:rPr>
        <w:footnoteReference w:id="21"/>
      </w:r>
    </w:p>
    <w:p w14:paraId="5B5EE0E5" w14:textId="03F02A2E" w:rsidR="00D20590" w:rsidRPr="00EE32B6" w:rsidRDefault="000F1D91" w:rsidP="004472BC">
      <w:pPr>
        <w:pStyle w:val="Listeavsnitt"/>
        <w:numPr>
          <w:ilvl w:val="0"/>
          <w:numId w:val="29"/>
        </w:numPr>
      </w:pPr>
      <w:r w:rsidRPr="00EE32B6">
        <w:t xml:space="preserve">Er begrensninger i de registrertes mulighet til å gjøre sine rettigheter gjeldende inkludert og synliggjort i den aktuelle lovgivningen? </w:t>
      </w:r>
      <w:r w:rsidR="00472EE1" w:rsidRPr="00EE32B6">
        <w:rPr>
          <w:rStyle w:val="Fotnotereferanse"/>
        </w:rPr>
        <w:footnoteReference w:id="22"/>
      </w:r>
    </w:p>
    <w:p w14:paraId="0A57DF2D" w14:textId="7276B79B" w:rsidR="000A1035" w:rsidRPr="00EE32B6" w:rsidRDefault="004472BC" w:rsidP="004472BC">
      <w:pPr>
        <w:pStyle w:val="Listeavsnitt"/>
        <w:numPr>
          <w:ilvl w:val="0"/>
          <w:numId w:val="29"/>
        </w:numPr>
      </w:pPr>
      <w:r w:rsidRPr="00EE32B6">
        <w:t xml:space="preserve">Kravene til presisjon og </w:t>
      </w:r>
      <w:r w:rsidR="00F17978" w:rsidRPr="00EE32B6">
        <w:t>tilgjengelighet etter punkt 1 skal</w:t>
      </w:r>
      <w:r w:rsidR="00F211F4" w:rsidRPr="00EE32B6">
        <w:t xml:space="preserve"> </w:t>
      </w:r>
      <w:r w:rsidR="00565723" w:rsidRPr="00EE32B6">
        <w:t>vurderes og overholdes likt</w:t>
      </w:r>
      <w:r w:rsidR="00F17978" w:rsidRPr="00EE32B6">
        <w:t xml:space="preserve"> </w:t>
      </w:r>
      <w:r w:rsidR="006B0051" w:rsidRPr="00EE32B6">
        <w:t xml:space="preserve">på tvers av </w:t>
      </w:r>
      <w:r w:rsidR="004213FF" w:rsidRPr="00EE32B6">
        <w:t xml:space="preserve">ulike </w:t>
      </w:r>
      <w:r w:rsidR="00332849" w:rsidRPr="00EE32B6">
        <w:t xml:space="preserve">statlige </w:t>
      </w:r>
      <w:r w:rsidR="004213FF" w:rsidRPr="00EE32B6">
        <w:t>overvåkningsprogra</w:t>
      </w:r>
      <w:r w:rsidR="00603BA8" w:rsidRPr="00EE32B6">
        <w:t>m.</w:t>
      </w:r>
      <w:r w:rsidR="00E61A50" w:rsidRPr="00EE32B6">
        <w:t xml:space="preserve"> </w:t>
      </w:r>
      <w:r w:rsidR="00E10B92" w:rsidRPr="00EE32B6">
        <w:t>Hjemle</w:t>
      </w:r>
      <w:r w:rsidR="00A87783" w:rsidRPr="00EE32B6">
        <w:t>r</w:t>
      </w:r>
      <w:r w:rsidR="00E10B92" w:rsidRPr="00EE32B6">
        <w:t xml:space="preserve"> for </w:t>
      </w:r>
      <w:r w:rsidR="00C84E4C" w:rsidRPr="00EE32B6">
        <w:t>bulk-innsamling</w:t>
      </w:r>
      <w:r w:rsidR="000A27F1" w:rsidRPr="00EE32B6">
        <w:t xml:space="preserve"> av data </w:t>
      </w:r>
      <w:r w:rsidR="00A87783" w:rsidRPr="00EE32B6">
        <w:t>er</w:t>
      </w:r>
      <w:r w:rsidR="00565CE5" w:rsidRPr="00EE32B6">
        <w:t xml:space="preserve"> følgelig</w:t>
      </w:r>
      <w:r w:rsidR="00A87783" w:rsidRPr="00EE32B6">
        <w:t xml:space="preserve"> underlagt de samme krav til klarhet og presisjon </w:t>
      </w:r>
      <w:r w:rsidR="00565CE5" w:rsidRPr="00EE32B6">
        <w:t>som</w:t>
      </w:r>
      <w:r w:rsidR="00A87783" w:rsidRPr="00EE32B6">
        <w:t xml:space="preserve"> hjemler for</w:t>
      </w:r>
      <w:r w:rsidR="00C84E4C" w:rsidRPr="00EE32B6">
        <w:t xml:space="preserve"> </w:t>
      </w:r>
      <w:r w:rsidR="00E61A50" w:rsidRPr="00EE32B6">
        <w:t>målrettet overvåkning</w:t>
      </w:r>
      <w:r w:rsidR="00A87783" w:rsidRPr="00EE32B6">
        <w:t>.</w:t>
      </w:r>
      <w:r w:rsidR="007824EB" w:rsidRPr="00EE32B6">
        <w:rPr>
          <w:rStyle w:val="Fotnotereferanse"/>
        </w:rPr>
        <w:footnoteReference w:id="23"/>
      </w:r>
    </w:p>
    <w:p w14:paraId="0105855C" w14:textId="70162243" w:rsidR="00C66AB3" w:rsidRPr="00EE32B6" w:rsidRDefault="00C040AE" w:rsidP="004472BC">
      <w:pPr>
        <w:pStyle w:val="Listeavsnitt"/>
        <w:numPr>
          <w:ilvl w:val="0"/>
          <w:numId w:val="29"/>
        </w:numPr>
      </w:pPr>
      <w:r w:rsidRPr="00EE32B6">
        <w:t>Er</w:t>
      </w:r>
      <w:r w:rsidR="00CA2F96" w:rsidRPr="00EE32B6">
        <w:t xml:space="preserve"> </w:t>
      </w:r>
      <w:r w:rsidRPr="00EE32B6">
        <w:t>individet/individene som overvåkes i stand til</w:t>
      </w:r>
      <w:r w:rsidR="003B15CB" w:rsidRPr="00EE32B6">
        <w:t xml:space="preserve"> </w:t>
      </w:r>
      <w:r w:rsidRPr="00EE32B6">
        <w:t>å forutse konsekvensene av et inngrep i henhold til aktuell overvåkningslovgivning?</w:t>
      </w:r>
      <w:r w:rsidR="00857A61" w:rsidRPr="00EE32B6">
        <w:t xml:space="preserve"> </w:t>
      </w:r>
      <w:r w:rsidR="008835AB" w:rsidRPr="00EE32B6">
        <w:t>Kravet til forutsig</w:t>
      </w:r>
      <w:r w:rsidR="00B32407" w:rsidRPr="00EE32B6">
        <w:t>bare regler</w:t>
      </w:r>
      <w:r w:rsidR="008835AB" w:rsidRPr="00EE32B6">
        <w:t xml:space="preserve"> må rimeligvis avgrenses mot behovet for hemmelighold og </w:t>
      </w:r>
      <w:r w:rsidR="00B32407" w:rsidRPr="00EE32B6">
        <w:t xml:space="preserve">hensynet til </w:t>
      </w:r>
      <w:r w:rsidR="008835AB" w:rsidRPr="00EE32B6">
        <w:t xml:space="preserve">nasjonal sikkerhet. </w:t>
      </w:r>
      <w:r w:rsidR="00DE451B" w:rsidRPr="00EE32B6">
        <w:rPr>
          <w:rStyle w:val="Fotnotereferanse"/>
        </w:rPr>
        <w:footnoteReference w:id="24"/>
      </w:r>
    </w:p>
    <w:p w14:paraId="45F99D58" w14:textId="014FBC9C" w:rsidR="000E7C25" w:rsidRPr="00EE32B6" w:rsidRDefault="000E7C25" w:rsidP="000E7C25">
      <w:r w:rsidRPr="00EE32B6">
        <w:t xml:space="preserve">Communications and </w:t>
      </w:r>
      <w:proofErr w:type="spellStart"/>
      <w:r w:rsidRPr="00EE32B6">
        <w:t>Surveillance</w:t>
      </w:r>
      <w:proofErr w:type="spellEnd"/>
      <w:r w:rsidRPr="00EE32B6">
        <w:t xml:space="preserve"> </w:t>
      </w:r>
      <w:proofErr w:type="spellStart"/>
      <w:r w:rsidRPr="00EE32B6">
        <w:t>Act</w:t>
      </w:r>
      <w:proofErr w:type="spellEnd"/>
      <w:r w:rsidRPr="00EE32B6">
        <w:t xml:space="preserve"> har til formål å sikre fri privat kommunikasjon, hindre ulovlig inntrengsel, og å ivareta nasjonal sikkerhet og sosial orden (prosjektets oversettelse) jf. artikkel 1.</w:t>
      </w:r>
      <w:r w:rsidR="00BD5128" w:rsidRPr="00EE32B6">
        <w:t xml:space="preserve"> </w:t>
      </w:r>
      <w:r w:rsidRPr="00EE32B6">
        <w:t xml:space="preserve">Regelverket autoriserer statlig overvåkning av kommunikasjon som vurderes relevant inn mot politi- eller annen statlig iverksatt etterforskning. </w:t>
      </w:r>
    </w:p>
    <w:p w14:paraId="1F8A8403" w14:textId="15C5112F" w:rsidR="00DE0F72" w:rsidRPr="00EE32B6" w:rsidRDefault="00D052B3" w:rsidP="000E7C25">
      <w:r w:rsidRPr="00EE32B6">
        <w:t xml:space="preserve">Når det gjelder inngrepenes rekkevidde og omfang, </w:t>
      </w:r>
      <w:r w:rsidR="00541671" w:rsidRPr="00EE32B6">
        <w:t>definerer artikkel 3</w:t>
      </w:r>
      <w:r w:rsidR="00F7299B" w:rsidRPr="00EE32B6">
        <w:t xml:space="preserve"> og artikkel 13</w:t>
      </w:r>
      <w:r w:rsidR="00346DAF" w:rsidRPr="00EE32B6">
        <w:t xml:space="preserve"> </w:t>
      </w:r>
      <w:r w:rsidR="00541671" w:rsidRPr="00EE32B6">
        <w:t>overvåkningsmetode</w:t>
      </w:r>
      <w:r w:rsidR="00AB006D" w:rsidRPr="00EE32B6">
        <w:t xml:space="preserve"> og </w:t>
      </w:r>
      <w:r w:rsidR="00CB7115" w:rsidRPr="00EE32B6">
        <w:t>rekkevidde</w:t>
      </w:r>
      <w:r w:rsidR="003332CC" w:rsidRPr="00EE32B6">
        <w:t xml:space="preserve"> (se </w:t>
      </w:r>
      <w:r w:rsidR="00A7278E" w:rsidRPr="00EE32B6">
        <w:t xml:space="preserve">gjennomgang i </w:t>
      </w:r>
      <w:r w:rsidR="003332CC" w:rsidRPr="00EE32B6">
        <w:t>punkt 3.2.3).</w:t>
      </w:r>
      <w:r w:rsidR="00541671" w:rsidRPr="00EE32B6">
        <w:t xml:space="preserve"> </w:t>
      </w:r>
      <w:r w:rsidR="00733608" w:rsidRPr="00EE32B6">
        <w:t>A</w:t>
      </w:r>
      <w:r w:rsidR="00541671" w:rsidRPr="00EE32B6">
        <w:t>rtikkel 3-1</w:t>
      </w:r>
      <w:r w:rsidR="00CB7115" w:rsidRPr="00EE32B6">
        <w:t xml:space="preserve"> beskrive</w:t>
      </w:r>
      <w:r w:rsidR="00733608" w:rsidRPr="00EE32B6">
        <w:t>r</w:t>
      </w:r>
      <w:r w:rsidR="00CB7115" w:rsidRPr="00EE32B6">
        <w:t xml:space="preserve"> omfanget av overvåkningen. </w:t>
      </w:r>
      <w:r w:rsidR="00AE3298" w:rsidRPr="00EE32B6">
        <w:t>Artikkel 5 i CSSA beskriver nærmere de omstendigheter som kreves for å utstede en overvåkningsordre. Her henvises</w:t>
      </w:r>
      <w:r w:rsidR="00044F54">
        <w:t xml:space="preserve"> det</w:t>
      </w:r>
      <w:r w:rsidR="00AE3298" w:rsidRPr="00EE32B6">
        <w:t xml:space="preserve"> til straffebestemmelser som ellers er tilgjengelige. </w:t>
      </w:r>
    </w:p>
    <w:p w14:paraId="4D77D8A0" w14:textId="5B3BC40F" w:rsidR="00A336DD" w:rsidRPr="00EE32B6" w:rsidRDefault="00211CC4" w:rsidP="00AF7B34">
      <w:r w:rsidRPr="00EE32B6">
        <w:t xml:space="preserve">Artikkel </w:t>
      </w:r>
      <w:r w:rsidR="00AE3298" w:rsidRPr="00EE32B6">
        <w:t>12</w:t>
      </w:r>
      <w:r w:rsidR="004F72A2" w:rsidRPr="00EE32B6">
        <w:t xml:space="preserve"> </w:t>
      </w:r>
      <w:r w:rsidRPr="00EE32B6">
        <w:t xml:space="preserve">beskriver nærmere </w:t>
      </w:r>
      <w:r w:rsidR="0097273E" w:rsidRPr="00EE32B6">
        <w:t>varigheten av overvåkning</w:t>
      </w:r>
      <w:r w:rsidR="004E505B">
        <w:t xml:space="preserve"> som er</w:t>
      </w:r>
      <w:r w:rsidR="004F72A2" w:rsidRPr="00EE32B6">
        <w:t xml:space="preserve"> iverksatt i tråd</w:t>
      </w:r>
      <w:r w:rsidR="00511E88" w:rsidRPr="00EE32B6">
        <w:t xml:space="preserve"> med</w:t>
      </w:r>
      <w:r w:rsidR="0097273E" w:rsidRPr="00EE32B6">
        <w:t xml:space="preserve"> artikkel 5</w:t>
      </w:r>
      <w:r w:rsidR="00E53365" w:rsidRPr="00EE32B6">
        <w:t xml:space="preserve"> (overvåkning</w:t>
      </w:r>
      <w:r w:rsidR="00706318" w:rsidRPr="00EE32B6">
        <w:t xml:space="preserve"> på bakgrunn av </w:t>
      </w:r>
      <w:r w:rsidR="00D31198" w:rsidRPr="00EE32B6">
        <w:t>straffeforfølgelse)</w:t>
      </w:r>
      <w:r w:rsidR="0097273E" w:rsidRPr="00EE32B6">
        <w:t>, artikkel 6</w:t>
      </w:r>
      <w:r w:rsidR="00D31198" w:rsidRPr="00EE32B6">
        <w:t xml:space="preserve"> (overvåkning </w:t>
      </w:r>
      <w:r w:rsidR="00706318" w:rsidRPr="00EE32B6">
        <w:t>på bakgrunn av</w:t>
      </w:r>
      <w:r w:rsidR="00734203" w:rsidRPr="00EE32B6">
        <w:t xml:space="preserve"> </w:t>
      </w:r>
      <w:r w:rsidR="00734203" w:rsidRPr="00EE32B6">
        <w:lastRenderedPageBreak/>
        <w:t>valgpåvirkning og</w:t>
      </w:r>
      <w:r w:rsidR="00273768" w:rsidRPr="00EE32B6">
        <w:t xml:space="preserve"> trussel</w:t>
      </w:r>
      <w:r w:rsidR="00734203" w:rsidRPr="00EE32B6">
        <w:t xml:space="preserve"> mot demokratiet</w:t>
      </w:r>
      <w:r w:rsidR="00273768" w:rsidRPr="00EE32B6">
        <w:t>)</w:t>
      </w:r>
      <w:r w:rsidRPr="00EE32B6">
        <w:t xml:space="preserve"> </w:t>
      </w:r>
      <w:r w:rsidR="0097273E" w:rsidRPr="00EE32B6">
        <w:t>og artikkel 7</w:t>
      </w:r>
      <w:r w:rsidR="00734203" w:rsidRPr="00EE32B6">
        <w:t xml:space="preserve"> (overvåkning </w:t>
      </w:r>
      <w:r w:rsidR="00706318" w:rsidRPr="00EE32B6">
        <w:t>på bakgrunn</w:t>
      </w:r>
      <w:r w:rsidR="00734203" w:rsidRPr="00EE32B6">
        <w:t xml:space="preserve"> av</w:t>
      </w:r>
      <w:r w:rsidR="00706318" w:rsidRPr="00EE32B6">
        <w:t xml:space="preserve"> utenlandsk etterretning og spionasje)</w:t>
      </w:r>
      <w:r w:rsidR="0097273E" w:rsidRPr="00EE32B6">
        <w:t>.</w:t>
      </w:r>
      <w:r w:rsidR="00AD705C" w:rsidRPr="00EE32B6">
        <w:t xml:space="preserve"> Begrensninger </w:t>
      </w:r>
      <w:r w:rsidR="00F20A4F" w:rsidRPr="00EE32B6">
        <w:t xml:space="preserve">i de registrertes rettigheter beskrives gjennomgående i CSSA. </w:t>
      </w:r>
    </w:p>
    <w:p w14:paraId="2F6198C3" w14:textId="159E4F27" w:rsidR="008A53A4" w:rsidRPr="00EE32B6" w:rsidRDefault="008A53A4" w:rsidP="008A53A4">
      <w:pPr>
        <w:pStyle w:val="Overskrift4"/>
        <w:numPr>
          <w:ilvl w:val="3"/>
          <w:numId w:val="6"/>
        </w:numPr>
      </w:pPr>
      <w:r w:rsidRPr="00EE32B6">
        <w:t>Garanti B: Nødvendig og proporsjonal for å oppnå et legitimt formål.</w:t>
      </w:r>
    </w:p>
    <w:p w14:paraId="5103AB88" w14:textId="701C70CD" w:rsidR="00A336DD" w:rsidRPr="00EE32B6" w:rsidRDefault="00B67144" w:rsidP="00AF7B34">
      <w:r w:rsidRPr="00EE32B6">
        <w:t xml:space="preserve">Artikkel </w:t>
      </w:r>
      <w:r w:rsidR="00237918" w:rsidRPr="00EE32B6">
        <w:t>2</w:t>
      </w:r>
      <w:r w:rsidRPr="00EE32B6">
        <w:t xml:space="preserve"> stiller krav om </w:t>
      </w:r>
      <w:r w:rsidR="0004167D">
        <w:t xml:space="preserve">at eventuell overvåkning skal være </w:t>
      </w:r>
      <w:r w:rsidR="00AF7B34" w:rsidRPr="00EE32B6">
        <w:t>nødvendig</w:t>
      </w:r>
      <w:r w:rsidR="00A6251D" w:rsidRPr="00EE32B6">
        <w:t xml:space="preserve">, forholdsmessig </w:t>
      </w:r>
      <w:r w:rsidR="0075160D" w:rsidRPr="00EE32B6">
        <w:t>og formåls</w:t>
      </w:r>
      <w:r w:rsidR="004328B2" w:rsidRPr="00EE32B6">
        <w:t>tjenlig</w:t>
      </w:r>
      <w:r w:rsidR="0004167D">
        <w:t xml:space="preserve">. </w:t>
      </w:r>
      <w:r w:rsidR="003E2FD8" w:rsidRPr="00EE32B6">
        <w:t>Riktignok er det</w:t>
      </w:r>
      <w:r w:rsidR="00AF7B34" w:rsidRPr="00EE32B6">
        <w:t xml:space="preserve"> uklart hvordan dette begrenser det statlige handlingsrommet mer konkret. </w:t>
      </w:r>
      <w:r w:rsidR="00973B16" w:rsidRPr="00EE32B6">
        <w:t>Tilsvarende formuleringer</w:t>
      </w:r>
      <w:r w:rsidR="00757BCA" w:rsidRPr="00EE32B6">
        <w:t xml:space="preserve"> om nødvendighet, forholdsmessighet og formålstjenlighet</w:t>
      </w:r>
      <w:r w:rsidR="00973B16" w:rsidRPr="00EE32B6">
        <w:t xml:space="preserve"> er</w:t>
      </w:r>
      <w:r w:rsidR="003E2FD8" w:rsidRPr="00EE32B6">
        <w:t xml:space="preserve"> </w:t>
      </w:r>
      <w:r w:rsidR="004E3828" w:rsidRPr="00EE32B6">
        <w:t>dessuten</w:t>
      </w:r>
      <w:r w:rsidR="00973B16" w:rsidRPr="00EE32B6">
        <w:t xml:space="preserve"> innlemmet</w:t>
      </w:r>
      <w:r w:rsidR="008C7FDF" w:rsidRPr="00EE32B6">
        <w:t xml:space="preserve"> i </w:t>
      </w:r>
      <w:r w:rsidR="00EC0020" w:rsidRPr="00EE32B6">
        <w:t xml:space="preserve">øvrige deler av lovverket der </w:t>
      </w:r>
      <w:r w:rsidR="00A8487E" w:rsidRPr="00EE32B6">
        <w:t xml:space="preserve">disse kravene er naturlig å </w:t>
      </w:r>
      <w:r w:rsidR="00A44BA3" w:rsidRPr="00EE32B6">
        <w:t>fremheve</w:t>
      </w:r>
      <w:r w:rsidR="00CE25CD" w:rsidRPr="00EE32B6">
        <w:t xml:space="preserve">. </w:t>
      </w:r>
    </w:p>
    <w:p w14:paraId="4E2E4177" w14:textId="0B502385" w:rsidR="008A53A4" w:rsidRPr="00EE32B6" w:rsidRDefault="008A53A4" w:rsidP="008A53A4">
      <w:pPr>
        <w:pStyle w:val="Overskrift4"/>
        <w:numPr>
          <w:ilvl w:val="3"/>
          <w:numId w:val="6"/>
        </w:numPr>
      </w:pPr>
      <w:r w:rsidRPr="00EE32B6">
        <w:t>Garanti C: Uavhengig tilsyn</w:t>
      </w:r>
      <w:r w:rsidR="00CF7CE9" w:rsidRPr="00EE32B6">
        <w:t xml:space="preserve"> og kontroll (domstolskontroll)</w:t>
      </w:r>
    </w:p>
    <w:p w14:paraId="78EE9513" w14:textId="3C80D306" w:rsidR="00632027" w:rsidRDefault="00632027" w:rsidP="00146024">
      <w:r>
        <w:t xml:space="preserve">Det finnes </w:t>
      </w:r>
      <w:r w:rsidR="00332487">
        <w:t>ikke et</w:t>
      </w:r>
      <w:r>
        <w:t xml:space="preserve"> dedikert</w:t>
      </w:r>
      <w:r w:rsidR="00332487">
        <w:t xml:space="preserve"> og uavhengig kontrollorgan </w:t>
      </w:r>
      <w:r w:rsidR="004B53E0">
        <w:t>opp mot håndhevingen av CSSA.</w:t>
      </w:r>
    </w:p>
    <w:p w14:paraId="2565A5EE" w14:textId="52E6BD07" w:rsidR="00131A7D" w:rsidRPr="00EE32B6" w:rsidRDefault="00DB0F66" w:rsidP="00146024">
      <w:r w:rsidRPr="00EE32B6">
        <w:t>En «</w:t>
      </w:r>
      <w:proofErr w:type="spellStart"/>
      <w:r w:rsidRPr="00EE32B6">
        <w:t>enforcement</w:t>
      </w:r>
      <w:proofErr w:type="spellEnd"/>
      <w:r w:rsidRPr="00EE32B6">
        <w:t xml:space="preserve"> </w:t>
      </w:r>
      <w:proofErr w:type="spellStart"/>
      <w:r w:rsidRPr="00EE32B6">
        <w:t>authority</w:t>
      </w:r>
      <w:proofErr w:type="spellEnd"/>
      <w:r w:rsidRPr="00EE32B6">
        <w:t xml:space="preserve">» skal etter artikkel 5 </w:t>
      </w:r>
      <w:r w:rsidR="00EF729E" w:rsidRPr="00EE32B6">
        <w:t>oversende</w:t>
      </w:r>
      <w:r w:rsidR="00012285" w:rsidRPr="00EE32B6">
        <w:t xml:space="preserve"> </w:t>
      </w:r>
      <w:r w:rsidR="00F07E7E" w:rsidRPr="00EE32B6">
        <w:t>minst en rapport</w:t>
      </w:r>
      <w:r w:rsidR="00012285" w:rsidRPr="00EE32B6">
        <w:t xml:space="preserve"> til</w:t>
      </w:r>
      <w:r w:rsidR="00F07E7E" w:rsidRPr="00EE32B6">
        <w:t xml:space="preserve"> hver 15 dag underveis i gjennomføringen av kommunikasjonsovervåkning.</w:t>
      </w:r>
      <w:r w:rsidR="00943115" w:rsidRPr="00EE32B6">
        <w:t xml:space="preserve"> Rapporten skal leveres til aktor</w:t>
      </w:r>
      <w:r w:rsidR="002570E7" w:rsidRPr="00EE32B6">
        <w:t>en</w:t>
      </w:r>
      <w:r w:rsidR="00943115" w:rsidRPr="00EE32B6">
        <w:t xml:space="preserve"> eller dommeren som</w:t>
      </w:r>
      <w:r w:rsidR="00EF729E" w:rsidRPr="00EE32B6">
        <w:t xml:space="preserve"> utstedte </w:t>
      </w:r>
      <w:r w:rsidR="000B7E66" w:rsidRPr="00EE32B6">
        <w:t>bestillingen om overvåkning. Innholdet i rapporten skal</w:t>
      </w:r>
      <w:r w:rsidR="004A1E07" w:rsidRPr="00EE32B6">
        <w:t xml:space="preserve"> inkludere</w:t>
      </w:r>
      <w:r w:rsidR="00F07E7E" w:rsidRPr="00EE32B6">
        <w:t xml:space="preserve"> </w:t>
      </w:r>
      <w:r w:rsidR="004A1E07" w:rsidRPr="00EE32B6">
        <w:t>status på progresjon samt en redegjørelse av om</w:t>
      </w:r>
      <w:r w:rsidR="008F6F60" w:rsidRPr="00EE32B6">
        <w:t xml:space="preserve"> overvåkningen er nødvendig</w:t>
      </w:r>
      <w:r w:rsidR="002570E7" w:rsidRPr="00EE32B6">
        <w:t xml:space="preserve"> å videreføre</w:t>
      </w:r>
      <w:r w:rsidR="008F6F60" w:rsidRPr="00EE32B6">
        <w:t xml:space="preserve">. </w:t>
      </w:r>
    </w:p>
    <w:p w14:paraId="7C479A9F" w14:textId="26467709" w:rsidR="003A190E" w:rsidRPr="00EE32B6" w:rsidRDefault="007F0A2F" w:rsidP="00146024">
      <w:r w:rsidRPr="00EE32B6">
        <w:t>Etter artikkel 16-1 skal «</w:t>
      </w:r>
      <w:proofErr w:type="spellStart"/>
      <w:r w:rsidRPr="00EE32B6">
        <w:t>enforcement</w:t>
      </w:r>
      <w:proofErr w:type="spellEnd"/>
      <w:r w:rsidRPr="00EE32B6">
        <w:t xml:space="preserve"> </w:t>
      </w:r>
      <w:proofErr w:type="spellStart"/>
      <w:r w:rsidRPr="00EE32B6">
        <w:t>authority</w:t>
      </w:r>
      <w:proofErr w:type="spellEnd"/>
      <w:r w:rsidRPr="00EE32B6">
        <w:t>» og «</w:t>
      </w:r>
      <w:proofErr w:type="spellStart"/>
      <w:r w:rsidRPr="00EE32B6">
        <w:t>supervisory</w:t>
      </w:r>
      <w:proofErr w:type="spellEnd"/>
      <w:r w:rsidRPr="00EE32B6">
        <w:t xml:space="preserve"> </w:t>
      </w:r>
      <w:proofErr w:type="spellStart"/>
      <w:r w:rsidRPr="00EE32B6">
        <w:t>authority</w:t>
      </w:r>
      <w:proofErr w:type="spellEnd"/>
      <w:r w:rsidRPr="00EE32B6">
        <w:t>»</w:t>
      </w:r>
      <w:r w:rsidR="00D13D20" w:rsidRPr="00EE32B6">
        <w:t xml:space="preserve"> forberede en årlig rapport med relevant statist</w:t>
      </w:r>
      <w:r w:rsidR="007245C6" w:rsidRPr="00EE32B6">
        <w:t>ikk</w:t>
      </w:r>
      <w:r w:rsidR="00D13D20" w:rsidRPr="00EE32B6">
        <w:t xml:space="preserve"> om</w:t>
      </w:r>
      <w:r w:rsidR="00B5289C" w:rsidRPr="00EE32B6">
        <w:t xml:space="preserve"> det foregående årets</w:t>
      </w:r>
      <w:r w:rsidR="00D13D20" w:rsidRPr="00EE32B6">
        <w:t xml:space="preserve"> </w:t>
      </w:r>
      <w:r w:rsidR="00B5289C" w:rsidRPr="00EE32B6">
        <w:t xml:space="preserve">overvåkningsaktivitet. </w:t>
      </w:r>
    </w:p>
    <w:p w14:paraId="4F0084B1" w14:textId="258AA186" w:rsidR="005B0FAC" w:rsidRPr="00EE32B6" w:rsidRDefault="007325BE" w:rsidP="00146024">
      <w:r w:rsidRPr="00EE32B6">
        <w:t xml:space="preserve">Det fremkommer </w:t>
      </w:r>
      <w:r w:rsidR="00D72D23" w:rsidRPr="00EE32B6">
        <w:t xml:space="preserve">videre </w:t>
      </w:r>
      <w:r w:rsidRPr="00EE32B6">
        <w:t>av a</w:t>
      </w:r>
      <w:r w:rsidR="00F50963" w:rsidRPr="00EE32B6">
        <w:t xml:space="preserve">rtikkel 32-1 </w:t>
      </w:r>
      <w:r w:rsidRPr="00EE32B6">
        <w:t xml:space="preserve">at «The </w:t>
      </w:r>
      <w:proofErr w:type="spellStart"/>
      <w:r w:rsidRPr="00EE32B6">
        <w:t>ministry</w:t>
      </w:r>
      <w:proofErr w:type="spellEnd"/>
      <w:r w:rsidRPr="00EE32B6">
        <w:t xml:space="preserve"> </w:t>
      </w:r>
      <w:proofErr w:type="spellStart"/>
      <w:r w:rsidRPr="00EE32B6">
        <w:t>of</w:t>
      </w:r>
      <w:proofErr w:type="spellEnd"/>
      <w:r w:rsidRPr="00EE32B6">
        <w:t xml:space="preserve"> </w:t>
      </w:r>
      <w:proofErr w:type="spellStart"/>
      <w:r w:rsidRPr="00EE32B6">
        <w:t>Justice</w:t>
      </w:r>
      <w:proofErr w:type="spellEnd"/>
      <w:r w:rsidRPr="00EE32B6">
        <w:t>» skal gjennomføre årlige revisjoner</w:t>
      </w:r>
      <w:r w:rsidR="00C20876" w:rsidRPr="00EE32B6">
        <w:t xml:space="preserve"> </w:t>
      </w:r>
      <w:r w:rsidR="001B09D4" w:rsidRPr="00EE32B6">
        <w:t>på «</w:t>
      </w:r>
      <w:proofErr w:type="spellStart"/>
      <w:r w:rsidR="001B09D4" w:rsidRPr="00EE32B6">
        <w:t>the</w:t>
      </w:r>
      <w:proofErr w:type="spellEnd"/>
      <w:r w:rsidR="001B09D4" w:rsidRPr="00EE32B6">
        <w:t xml:space="preserve"> status </w:t>
      </w:r>
      <w:proofErr w:type="spellStart"/>
      <w:r w:rsidR="001B09D4" w:rsidRPr="00EE32B6">
        <w:t>of</w:t>
      </w:r>
      <w:proofErr w:type="spellEnd"/>
      <w:r w:rsidR="001B09D4" w:rsidRPr="00EE32B6">
        <w:t xml:space="preserve"> </w:t>
      </w:r>
      <w:proofErr w:type="spellStart"/>
      <w:r w:rsidR="001B09D4" w:rsidRPr="00EE32B6">
        <w:t>the</w:t>
      </w:r>
      <w:proofErr w:type="spellEnd"/>
      <w:r w:rsidR="001B09D4" w:rsidRPr="00EE32B6">
        <w:t xml:space="preserve"> </w:t>
      </w:r>
      <w:proofErr w:type="spellStart"/>
      <w:r w:rsidR="001B09D4" w:rsidRPr="00EE32B6">
        <w:t>enforcement</w:t>
      </w:r>
      <w:proofErr w:type="spellEnd"/>
      <w:r w:rsidR="001B09D4" w:rsidRPr="00EE32B6">
        <w:t xml:space="preserve"> </w:t>
      </w:r>
      <w:proofErr w:type="spellStart"/>
      <w:r w:rsidR="001B09D4" w:rsidRPr="00EE32B6">
        <w:t>of</w:t>
      </w:r>
      <w:proofErr w:type="spellEnd"/>
      <w:r w:rsidR="001B09D4" w:rsidRPr="00EE32B6">
        <w:t xml:space="preserve"> </w:t>
      </w:r>
      <w:proofErr w:type="spellStart"/>
      <w:r w:rsidR="001B09D4" w:rsidRPr="00EE32B6">
        <w:t>communications</w:t>
      </w:r>
      <w:proofErr w:type="spellEnd"/>
      <w:r w:rsidR="001B09D4" w:rsidRPr="00EE32B6">
        <w:t xml:space="preserve"> </w:t>
      </w:r>
      <w:proofErr w:type="spellStart"/>
      <w:r w:rsidR="001B09D4" w:rsidRPr="00EE32B6">
        <w:t>surveillance</w:t>
      </w:r>
      <w:proofErr w:type="spellEnd"/>
      <w:r w:rsidR="001B09D4" w:rsidRPr="00EE32B6">
        <w:t xml:space="preserve">.». </w:t>
      </w:r>
      <w:r w:rsidR="00B20DD7" w:rsidRPr="00EE32B6">
        <w:t>Funnene skal videre rapporteres til «Legislative Yuan»</w:t>
      </w:r>
      <w:r w:rsidR="001B7AFD" w:rsidRPr="00EE32B6">
        <w:t>, som er</w:t>
      </w:r>
      <w:r w:rsidR="00CB7E82" w:rsidRPr="00EE32B6">
        <w:t xml:space="preserve"> et</w:t>
      </w:r>
      <w:r w:rsidR="006364E3" w:rsidRPr="00EE32B6">
        <w:t xml:space="preserve"> justisutvalg</w:t>
      </w:r>
      <w:r w:rsidR="00CB7E82" w:rsidRPr="00EE32B6">
        <w:t xml:space="preserve"> organisert under </w:t>
      </w:r>
      <w:r w:rsidR="007B1D2F" w:rsidRPr="00EE32B6">
        <w:t>den taiwanske kongressen</w:t>
      </w:r>
      <w:r w:rsidR="006364E3" w:rsidRPr="00EE32B6">
        <w:t xml:space="preserve"> stemt frem via demokratiske valg</w:t>
      </w:r>
      <w:r w:rsidR="00CB7E82" w:rsidRPr="00EE32B6">
        <w:t xml:space="preserve">. </w:t>
      </w:r>
      <w:r w:rsidR="0002499B" w:rsidRPr="00EE32B6">
        <w:rPr>
          <w:rStyle w:val="Fotnotereferanse"/>
        </w:rPr>
        <w:footnoteReference w:id="25"/>
      </w:r>
    </w:p>
    <w:p w14:paraId="5238B76A" w14:textId="25F18704" w:rsidR="00146024" w:rsidRPr="00EE32B6" w:rsidRDefault="00415CEF" w:rsidP="00146024">
      <w:r w:rsidRPr="00EE32B6">
        <w:t>CSSA inneholder ingen beskrivelse av</w:t>
      </w:r>
      <w:r w:rsidR="003C1AA9" w:rsidRPr="00EE32B6">
        <w:t xml:space="preserve"> en</w:t>
      </w:r>
      <w:r w:rsidRPr="00EE32B6">
        <w:t xml:space="preserve"> </w:t>
      </w:r>
      <w:r w:rsidR="00951552" w:rsidRPr="00EE32B6">
        <w:t>uavhengig kontroll- og tilsynsmyndighe</w:t>
      </w:r>
      <w:r w:rsidRPr="00EE32B6">
        <w:t>t</w:t>
      </w:r>
      <w:r w:rsidR="00482871" w:rsidRPr="00EE32B6">
        <w:t xml:space="preserve">. </w:t>
      </w:r>
      <w:r w:rsidRPr="00EE32B6">
        <w:t>Hertil er det også av betydning at det per nå, s</w:t>
      </w:r>
      <w:r w:rsidR="00482871" w:rsidRPr="00EE32B6">
        <w:t>om nevnt i punkt 3.1.5</w:t>
      </w:r>
      <w:r w:rsidRPr="00EE32B6">
        <w:t>,</w:t>
      </w:r>
      <w:r w:rsidR="00482871" w:rsidRPr="00EE32B6">
        <w:t xml:space="preserve"> heller </w:t>
      </w:r>
      <w:r w:rsidRPr="00EE32B6">
        <w:t>ikke</w:t>
      </w:r>
      <w:r w:rsidR="00146024" w:rsidRPr="00EE32B6">
        <w:t xml:space="preserve"> eksisterer en dedikert, uavhengig og kontrollerende aktør tilsvarende europeiske datatilsyn</w:t>
      </w:r>
      <w:r w:rsidRPr="00EE32B6">
        <w:t xml:space="preserve"> etter PDPA</w:t>
      </w:r>
      <w:r w:rsidR="00146024" w:rsidRPr="00EE32B6">
        <w:t xml:space="preserve">. Senere endringer ved PDPA har imidlertid formalisert etableringen av et slikt organ. Dette organet skal kalles Personal Data </w:t>
      </w:r>
      <w:proofErr w:type="spellStart"/>
      <w:r w:rsidR="00146024" w:rsidRPr="00EE32B6">
        <w:t>Protection</w:t>
      </w:r>
      <w:proofErr w:type="spellEnd"/>
      <w:r w:rsidR="00146024" w:rsidRPr="00EE32B6">
        <w:t xml:space="preserve"> </w:t>
      </w:r>
      <w:proofErr w:type="spellStart"/>
      <w:r w:rsidR="00146024" w:rsidRPr="00EE32B6">
        <w:t>Comission</w:t>
      </w:r>
      <w:proofErr w:type="spellEnd"/>
      <w:r w:rsidR="00146024" w:rsidRPr="00EE32B6">
        <w:t xml:space="preserve"> (PDPC), men er enda ikke virksomt i praksis.</w:t>
      </w:r>
      <w:r w:rsidR="00146024" w:rsidRPr="00EE32B6">
        <w:rPr>
          <w:rStyle w:val="Fotnotereferanse"/>
        </w:rPr>
        <w:footnoteReference w:id="26"/>
      </w:r>
      <w:r w:rsidR="00146024" w:rsidRPr="00EE32B6">
        <w:t xml:space="preserve"> </w:t>
      </w:r>
      <w:r w:rsidR="009830DF" w:rsidRPr="00F846C9">
        <w:t>Ifølge lokal ekspertise ble det etablert et</w:t>
      </w:r>
      <w:r w:rsidR="005C2DDC" w:rsidRPr="00F846C9">
        <w:t xml:space="preserve"> </w:t>
      </w:r>
      <w:r w:rsidR="00D0241E" w:rsidRPr="00F846C9">
        <w:t>«</w:t>
      </w:r>
      <w:proofErr w:type="spellStart"/>
      <w:r w:rsidR="00D0241E" w:rsidRPr="00F846C9">
        <w:t>preperatory</w:t>
      </w:r>
      <w:proofErr w:type="spellEnd"/>
      <w:r w:rsidR="00D0241E" w:rsidRPr="00F846C9">
        <w:t xml:space="preserve"> </w:t>
      </w:r>
      <w:proofErr w:type="spellStart"/>
      <w:r w:rsidR="00D0241E" w:rsidRPr="00F846C9">
        <w:t>office</w:t>
      </w:r>
      <w:proofErr w:type="spellEnd"/>
      <w:r w:rsidR="00D0241E" w:rsidRPr="00F846C9">
        <w:t>»</w:t>
      </w:r>
      <w:r w:rsidR="00983107" w:rsidRPr="00F846C9">
        <w:t xml:space="preserve"> for PDPC</w:t>
      </w:r>
      <w:r w:rsidR="005C2DDC" w:rsidRPr="00F846C9">
        <w:t xml:space="preserve"> </w:t>
      </w:r>
      <w:r w:rsidR="00983107" w:rsidRPr="00F846C9">
        <w:t xml:space="preserve">5.desember 2023, og </w:t>
      </w:r>
      <w:r w:rsidR="005C2DDC" w:rsidRPr="00F846C9">
        <w:t xml:space="preserve">det antas at </w:t>
      </w:r>
      <w:r w:rsidR="009830DF" w:rsidRPr="00F846C9">
        <w:t>PDPC skal være virksomt innen august 2025.</w:t>
      </w:r>
    </w:p>
    <w:p w14:paraId="0CE5B8ED" w14:textId="43F2F622" w:rsidR="000074F1" w:rsidRPr="00EE32B6" w:rsidRDefault="00146024" w:rsidP="00CF7CE9">
      <w:r w:rsidRPr="00EE32B6">
        <w:t xml:space="preserve">National Development Council (NDC) skal håndheve og avsi beslutninger på saker på </w:t>
      </w:r>
      <w:proofErr w:type="spellStart"/>
      <w:r w:rsidRPr="00EE32B6">
        <w:t>PDPAs</w:t>
      </w:r>
      <w:proofErr w:type="spellEnd"/>
      <w:r w:rsidRPr="00EE32B6">
        <w:t xml:space="preserve"> område, samt kompetanse til å tolke både PDPA og de interne prosedyrene som statlige aktører er forpliktet til å etablere under PDPA. </w:t>
      </w:r>
    </w:p>
    <w:p w14:paraId="5F924DCB" w14:textId="73AA87FF" w:rsidR="008A53A4" w:rsidRPr="00EE32B6" w:rsidRDefault="00CF7CE9" w:rsidP="008A53A4">
      <w:pPr>
        <w:pStyle w:val="Overskrift4"/>
        <w:numPr>
          <w:ilvl w:val="3"/>
          <w:numId w:val="6"/>
        </w:numPr>
      </w:pPr>
      <w:r w:rsidRPr="00EE32B6">
        <w:t>Garanti D: E</w:t>
      </w:r>
      <w:r w:rsidR="008A53A4" w:rsidRPr="00EE32B6">
        <w:t xml:space="preserve">ffektive rettsmidler </w:t>
      </w:r>
    </w:p>
    <w:p w14:paraId="739D1FF5" w14:textId="109CDC23" w:rsidR="00EB0D15" w:rsidRPr="00EE32B6" w:rsidRDefault="008F34E8" w:rsidP="00F57C3D">
      <w:r w:rsidRPr="00EE32B6">
        <w:t>Tilstedeværelse av effektive rettsmidler forutsetter</w:t>
      </w:r>
      <w:r w:rsidR="00770A61" w:rsidRPr="00EE32B6">
        <w:t xml:space="preserve"> blant annet</w:t>
      </w:r>
      <w:r w:rsidRPr="00EE32B6">
        <w:t xml:space="preserve"> at de registrerte</w:t>
      </w:r>
      <w:r w:rsidR="001A58E6" w:rsidRPr="00EE32B6">
        <w:t xml:space="preserve"> </w:t>
      </w:r>
      <w:r w:rsidR="00973736" w:rsidRPr="00EE32B6">
        <w:t>settes i stand til å</w:t>
      </w:r>
      <w:r w:rsidR="007D7F15" w:rsidRPr="00EE32B6">
        <w:t xml:space="preserve"> gjøre sine rettigheter</w:t>
      </w:r>
      <w:r w:rsidR="0081680D" w:rsidRPr="00EE32B6">
        <w:t xml:space="preserve"> gjeldende.</w:t>
      </w:r>
      <w:r w:rsidR="00EC4629" w:rsidRPr="00EE32B6">
        <w:t xml:space="preserve"> </w:t>
      </w:r>
      <w:r w:rsidR="0004167D">
        <w:t>Om</w:t>
      </w:r>
      <w:r w:rsidR="001C47B4" w:rsidRPr="00EE32B6">
        <w:t>, og i hvilken grad de registrerte varsles om iverksatt eller gjennomført overvåkning er derfor av stor betydning</w:t>
      </w:r>
      <w:r w:rsidR="00EB0D15" w:rsidRPr="00EE32B6">
        <w:t>, ifølge EDPB.</w:t>
      </w:r>
    </w:p>
    <w:p w14:paraId="0FB4777A" w14:textId="77777777" w:rsidR="00580939" w:rsidRPr="00EE32B6" w:rsidRDefault="00B506EC" w:rsidP="00F57C3D">
      <w:r w:rsidRPr="00EE32B6">
        <w:t>A</w:t>
      </w:r>
      <w:r w:rsidR="006E3ECF" w:rsidRPr="00EE32B6">
        <w:t xml:space="preserve">rtikkel 15 </w:t>
      </w:r>
      <w:r w:rsidR="00EB0D15" w:rsidRPr="00EE32B6">
        <w:t xml:space="preserve">i CSSA </w:t>
      </w:r>
      <w:r w:rsidRPr="00EE32B6">
        <w:t>beskriver myndighetenes ansvar for å varsle person(e) som overvåkes.</w:t>
      </w:r>
      <w:r w:rsidR="00E275F9" w:rsidRPr="00EE32B6">
        <w:t xml:space="preserve"> Her følger</w:t>
      </w:r>
      <w:r w:rsidR="0048161A" w:rsidRPr="00EE32B6">
        <w:t xml:space="preserve"> blant annet</w:t>
      </w:r>
      <w:r w:rsidR="00E275F9" w:rsidRPr="00EE32B6">
        <w:t xml:space="preserve"> at m</w:t>
      </w:r>
      <w:r w:rsidR="00752854" w:rsidRPr="00EE32B6">
        <w:t xml:space="preserve">ed mindre varsel om gjennomført overvåkning strider med det opprinnelige overvåkningsformålet, skal «The </w:t>
      </w:r>
      <w:proofErr w:type="spellStart"/>
      <w:r w:rsidR="00752854" w:rsidRPr="00EE32B6">
        <w:t>court</w:t>
      </w:r>
      <w:proofErr w:type="spellEnd"/>
      <w:r w:rsidR="00752854" w:rsidRPr="00EE32B6">
        <w:t>» informere personen</w:t>
      </w:r>
      <w:r w:rsidR="00011014" w:rsidRPr="00EE32B6">
        <w:t>(e)</w:t>
      </w:r>
      <w:r w:rsidR="00752854" w:rsidRPr="00EE32B6">
        <w:t xml:space="preserve"> som overvåkes innen 14 dager etter</w:t>
      </w:r>
      <w:r w:rsidR="0048161A" w:rsidRPr="00EE32B6">
        <w:t xml:space="preserve"> at</w:t>
      </w:r>
      <w:r w:rsidR="00752854" w:rsidRPr="00EE32B6">
        <w:t xml:space="preserve"> overvåkningen er ferdig. </w:t>
      </w:r>
      <w:r w:rsidR="0014634B" w:rsidRPr="00EE32B6">
        <w:t>Artikkel 15 beskriver</w:t>
      </w:r>
      <w:r w:rsidR="00E275F9" w:rsidRPr="00EE32B6">
        <w:t xml:space="preserve"> også</w:t>
      </w:r>
      <w:r w:rsidR="0014634B" w:rsidRPr="00EE32B6">
        <w:t xml:space="preserve"> nærmere </w:t>
      </w:r>
      <w:r w:rsidR="00E3533C" w:rsidRPr="00EE32B6">
        <w:t>krav til innhold i et slikt varsel.</w:t>
      </w:r>
    </w:p>
    <w:p w14:paraId="463C3F83" w14:textId="04604FBC" w:rsidR="003B1BCC" w:rsidRPr="00EE32B6" w:rsidRDefault="00FE78EA" w:rsidP="00F57C3D">
      <w:r w:rsidRPr="00EE32B6">
        <w:t xml:space="preserve">«The </w:t>
      </w:r>
      <w:proofErr w:type="spellStart"/>
      <w:r w:rsidRPr="00EE32B6">
        <w:t>court</w:t>
      </w:r>
      <w:proofErr w:type="spellEnd"/>
      <w:r w:rsidRPr="00EE32B6">
        <w:t>»</w:t>
      </w:r>
      <w:r w:rsidR="00580939" w:rsidRPr="00EE32B6">
        <w:t xml:space="preserve"> er ikke</w:t>
      </w:r>
      <w:r w:rsidRPr="00EE32B6">
        <w:t xml:space="preserve"> gitt noen nærmere beskrivelse i CSSA</w:t>
      </w:r>
      <w:r w:rsidR="00AB590D" w:rsidRPr="00EE32B6">
        <w:t xml:space="preserve"> når det gjelder ansvarsområde, uavhengighet, kompetanse </w:t>
      </w:r>
      <w:r w:rsidR="0036649E" w:rsidRPr="00EE32B6">
        <w:t xml:space="preserve">eller annet. </w:t>
      </w:r>
      <w:r w:rsidR="00E62A96" w:rsidRPr="00EE32B6">
        <w:t>En rimelig slutning er likevel at «</w:t>
      </w:r>
      <w:proofErr w:type="spellStart"/>
      <w:r w:rsidR="00E62A96" w:rsidRPr="00EE32B6">
        <w:t>the</w:t>
      </w:r>
      <w:proofErr w:type="spellEnd"/>
      <w:r w:rsidR="00E62A96" w:rsidRPr="00EE32B6">
        <w:t xml:space="preserve"> </w:t>
      </w:r>
      <w:proofErr w:type="spellStart"/>
      <w:r w:rsidR="00E62A96" w:rsidRPr="00EE32B6">
        <w:t>court</w:t>
      </w:r>
      <w:proofErr w:type="spellEnd"/>
      <w:r w:rsidR="00E62A96" w:rsidRPr="00EE32B6">
        <w:t xml:space="preserve">» </w:t>
      </w:r>
      <w:r w:rsidR="00EB0737" w:rsidRPr="00EE32B6">
        <w:t>må være</w:t>
      </w:r>
      <w:r w:rsidR="00E62A96" w:rsidRPr="00EE32B6">
        <w:t xml:space="preserve"> en </w:t>
      </w:r>
      <w:r w:rsidR="00E62A96" w:rsidRPr="00EE32B6">
        <w:lastRenderedPageBreak/>
        <w:t xml:space="preserve">domstol eller annen kompetent autoritet med myndighet til å avsi beslutninger i strafferettslige </w:t>
      </w:r>
      <w:r w:rsidR="00EB0737" w:rsidRPr="00EE32B6">
        <w:t>saker e</w:t>
      </w:r>
      <w:r w:rsidR="00B1589D" w:rsidRPr="00EE32B6">
        <w:t>ttersom hjemmelsgrunnlag for overvåkning etter CSSA i hovedsak forutsetter en kriminalisert handling etter den nasjonale strafferetten (se artikkel 5 og 7)</w:t>
      </w:r>
      <w:r w:rsidR="00EB0737" w:rsidRPr="00EE32B6">
        <w:t>.</w:t>
      </w:r>
      <w:r w:rsidR="00CF1954" w:rsidRPr="00EE32B6">
        <w:t xml:space="preserve"> </w:t>
      </w:r>
    </w:p>
    <w:p w14:paraId="3A62CFBB" w14:textId="57BB1C8A" w:rsidR="00752854" w:rsidRPr="00EE32B6" w:rsidRDefault="0039732B" w:rsidP="00F57C3D">
      <w:r w:rsidRPr="00EE32B6">
        <w:t xml:space="preserve">Ifølge EDPB </w:t>
      </w:r>
      <w:r w:rsidR="00310D8B" w:rsidRPr="00EE32B6">
        <w:t>stilles det ikke krav til at «</w:t>
      </w:r>
      <w:proofErr w:type="spellStart"/>
      <w:r w:rsidR="00310D8B" w:rsidRPr="00EE32B6">
        <w:t>the</w:t>
      </w:r>
      <w:proofErr w:type="spellEnd"/>
      <w:r w:rsidR="00310D8B" w:rsidRPr="00EE32B6">
        <w:t xml:space="preserve"> </w:t>
      </w:r>
      <w:proofErr w:type="spellStart"/>
      <w:r w:rsidR="00310D8B" w:rsidRPr="00EE32B6">
        <w:t>court</w:t>
      </w:r>
      <w:proofErr w:type="spellEnd"/>
      <w:r w:rsidR="00310D8B" w:rsidRPr="00EE32B6">
        <w:t xml:space="preserve">» er en formell domstol. </w:t>
      </w:r>
      <w:r w:rsidR="00B632AA" w:rsidRPr="00EE32B6">
        <w:t xml:space="preserve">Så lenge </w:t>
      </w:r>
      <w:r w:rsidR="00E16CF4" w:rsidRPr="00EE32B6">
        <w:t>saker kan føres for en «</w:t>
      </w:r>
      <w:proofErr w:type="spellStart"/>
      <w:r w:rsidR="00E16CF4" w:rsidRPr="00EE32B6">
        <w:t>national</w:t>
      </w:r>
      <w:proofErr w:type="spellEnd"/>
      <w:r w:rsidR="00E16CF4" w:rsidRPr="00EE32B6">
        <w:t xml:space="preserve"> </w:t>
      </w:r>
      <w:proofErr w:type="spellStart"/>
      <w:r w:rsidR="00E16CF4" w:rsidRPr="00EE32B6">
        <w:t>authority</w:t>
      </w:r>
      <w:proofErr w:type="spellEnd"/>
      <w:r w:rsidR="00E16CF4" w:rsidRPr="00EE32B6">
        <w:t>»</w:t>
      </w:r>
      <w:r w:rsidR="00864BFA" w:rsidRPr="00EE32B6">
        <w:t xml:space="preserve"> eller en </w:t>
      </w:r>
      <w:r w:rsidR="0005176A" w:rsidRPr="00EE32B6">
        <w:t xml:space="preserve">«body» </w:t>
      </w:r>
      <w:r w:rsidR="00E560A2" w:rsidRPr="00EE32B6">
        <w:t xml:space="preserve">som tilbyr garantier nevnt i artikkel 47 i charteret, </w:t>
      </w:r>
      <w:r w:rsidR="00E16CF4" w:rsidRPr="00EE32B6">
        <w:t>må dette være tilstrekkelig.</w:t>
      </w:r>
      <w:r w:rsidR="0086009C" w:rsidRPr="00EE32B6">
        <w:rPr>
          <w:rStyle w:val="Fotnotereferanse"/>
        </w:rPr>
        <w:footnoteReference w:id="27"/>
      </w:r>
      <w:r w:rsidR="00476DD8" w:rsidRPr="00EE32B6">
        <w:t xml:space="preserve"> </w:t>
      </w:r>
      <w:r w:rsidR="00AD2980" w:rsidRPr="00EE32B6">
        <w:t xml:space="preserve">Av betydning er det også at </w:t>
      </w:r>
      <w:r w:rsidR="00F41C6F" w:rsidRPr="00EE32B6">
        <w:t xml:space="preserve">det aktuelle organet er gitt myndighet til å avsi beslutninger som er bindende for </w:t>
      </w:r>
      <w:r w:rsidR="00F73400" w:rsidRPr="00EE32B6">
        <w:t>den nasjonale overvåknings- og etterretningstjenesten. På dette punktet er det uklart «</w:t>
      </w:r>
      <w:proofErr w:type="spellStart"/>
      <w:r w:rsidR="00F73400" w:rsidRPr="00EE32B6">
        <w:t>the</w:t>
      </w:r>
      <w:proofErr w:type="spellEnd"/>
      <w:r w:rsidR="00F73400" w:rsidRPr="00EE32B6">
        <w:t xml:space="preserve"> </w:t>
      </w:r>
      <w:proofErr w:type="spellStart"/>
      <w:r w:rsidR="00F73400" w:rsidRPr="00EE32B6">
        <w:t>court</w:t>
      </w:r>
      <w:proofErr w:type="spellEnd"/>
      <w:r w:rsidR="008F27E5" w:rsidRPr="00EE32B6">
        <w:t>» er tillagt slik myndighet</w:t>
      </w:r>
      <w:r w:rsidR="009F14FC" w:rsidRPr="00EE32B6">
        <w:t xml:space="preserve"> i Taiwan</w:t>
      </w:r>
      <w:r w:rsidR="008F27E5" w:rsidRPr="00EE32B6">
        <w:t xml:space="preserve">. </w:t>
      </w:r>
    </w:p>
    <w:p w14:paraId="215B5AFF" w14:textId="4042B7DE" w:rsidR="002879D9" w:rsidRDefault="009F14FC" w:rsidP="00F57C3D">
      <w:r w:rsidRPr="00EE32B6">
        <w:t>Når det gjelder</w:t>
      </w:r>
      <w:r w:rsidR="00683AEB" w:rsidRPr="00EE32B6">
        <w:t xml:space="preserve"> bruken og fullbyrdingen av anvendelige rettsmidler,</w:t>
      </w:r>
      <w:r w:rsidR="002879D9" w:rsidRPr="00EE32B6">
        <w:t xml:space="preserve"> fremkommer</w:t>
      </w:r>
      <w:r w:rsidR="00683AEB" w:rsidRPr="00EE32B6">
        <w:t xml:space="preserve"> det</w:t>
      </w:r>
      <w:r w:rsidR="002879D9" w:rsidRPr="00EE32B6">
        <w:t xml:space="preserve"> av artikkel 24 i CSSA at ulovlig overvåkning straffes med «</w:t>
      </w:r>
      <w:proofErr w:type="spellStart"/>
      <w:r w:rsidR="002879D9" w:rsidRPr="00EE32B6">
        <w:t>fixed</w:t>
      </w:r>
      <w:proofErr w:type="spellEnd"/>
      <w:r w:rsidR="002879D9" w:rsidRPr="00EE32B6">
        <w:t xml:space="preserve">-term </w:t>
      </w:r>
      <w:proofErr w:type="spellStart"/>
      <w:r w:rsidR="002879D9" w:rsidRPr="00EE32B6">
        <w:t>imprisonement</w:t>
      </w:r>
      <w:proofErr w:type="spellEnd"/>
      <w:r w:rsidR="002879D9" w:rsidRPr="00EE32B6">
        <w:t xml:space="preserve">» opp til fem år. Ulovlig lekkasje av hemmelig eller annen type informasjon innhentet i tråd med øvrige hjemler i CSSA, straffes </w:t>
      </w:r>
      <w:r w:rsidR="00683AEB" w:rsidRPr="00EE32B6">
        <w:t xml:space="preserve">også </w:t>
      </w:r>
      <w:r w:rsidR="002879D9" w:rsidRPr="00EE32B6">
        <w:t>med «</w:t>
      </w:r>
      <w:proofErr w:type="spellStart"/>
      <w:r w:rsidR="002879D9" w:rsidRPr="00EE32B6">
        <w:t>fixed</w:t>
      </w:r>
      <w:proofErr w:type="spellEnd"/>
      <w:r w:rsidR="002879D9" w:rsidRPr="00EE32B6">
        <w:t xml:space="preserve">-term </w:t>
      </w:r>
      <w:proofErr w:type="spellStart"/>
      <w:r w:rsidR="002879D9" w:rsidRPr="00EE32B6">
        <w:t>imprisonment</w:t>
      </w:r>
      <w:proofErr w:type="spellEnd"/>
      <w:r w:rsidR="002879D9" w:rsidRPr="00EE32B6">
        <w:t>» i opptil fem år.</w:t>
      </w:r>
      <w:r w:rsidR="009B68B3" w:rsidRPr="00EE32B6">
        <w:t xml:space="preserve"> </w:t>
      </w:r>
      <w:r w:rsidR="00F62AE4" w:rsidRPr="00EE32B6">
        <w:t xml:space="preserve"> </w:t>
      </w:r>
    </w:p>
    <w:p w14:paraId="06C653D2" w14:textId="5D82572B" w:rsidR="002B2EA6" w:rsidRPr="00EE32B6" w:rsidRDefault="00ED0753" w:rsidP="00F57C3D">
      <w:r>
        <w:t xml:space="preserve">CSSA </w:t>
      </w:r>
      <w:r w:rsidR="000617CE">
        <w:t>tilbyr</w:t>
      </w:r>
      <w:r w:rsidR="00407177">
        <w:t xml:space="preserve"> ingen</w:t>
      </w:r>
      <w:r w:rsidR="000617CE">
        <w:t xml:space="preserve"> mulighet til umiddelbar h</w:t>
      </w:r>
      <w:r w:rsidR="002B2EA6">
        <w:t xml:space="preserve">åndhevingen av rettigheter </w:t>
      </w:r>
      <w:r w:rsidR="000617CE">
        <w:t>eller</w:t>
      </w:r>
      <w:r w:rsidR="002B2EA6">
        <w:t xml:space="preserve"> bruk av rettsmidler </w:t>
      </w:r>
      <w:r w:rsidR="000617CE">
        <w:t>dersom</w:t>
      </w:r>
      <w:r w:rsidR="002B2EA6">
        <w:t xml:space="preserve"> </w:t>
      </w:r>
      <w:r w:rsidR="00F93E90">
        <w:t>ulovlig overvåkning</w:t>
      </w:r>
      <w:r w:rsidR="000617CE">
        <w:t xml:space="preserve"> iverksettes</w:t>
      </w:r>
      <w:r w:rsidR="00F93E90">
        <w:t>. Dette skyldes</w:t>
      </w:r>
      <w:r w:rsidR="00CD34B5">
        <w:t xml:space="preserve"> at hemmelighold er </w:t>
      </w:r>
      <w:r w:rsidR="00CD4BEE">
        <w:t xml:space="preserve">en </w:t>
      </w:r>
      <w:r w:rsidR="00CD34B5">
        <w:t xml:space="preserve">grunnleggende </w:t>
      </w:r>
      <w:r w:rsidR="00A37420">
        <w:t>del</w:t>
      </w:r>
      <w:r w:rsidR="00CD34B5">
        <w:t xml:space="preserve"> </w:t>
      </w:r>
      <w:r w:rsidR="00A37420">
        <w:t>av</w:t>
      </w:r>
      <w:r w:rsidR="00CD34B5">
        <w:t xml:space="preserve"> enhver overvåkningsaksjon</w:t>
      </w:r>
      <w:r w:rsidR="00A37420">
        <w:t xml:space="preserve">, hvilket vanskeliggjør </w:t>
      </w:r>
    </w:p>
    <w:p w14:paraId="10445E76" w14:textId="26784269" w:rsidR="00961D2F" w:rsidRPr="00EE32B6" w:rsidRDefault="006A2462" w:rsidP="00F57C3D">
      <w:r w:rsidRPr="00EE32B6">
        <w:t xml:space="preserve">Til sist kan det </w:t>
      </w:r>
      <w:r w:rsidR="00FC0342" w:rsidRPr="00EE32B6">
        <w:t>nevnes at PDPA tilrettelegger for både administrativ og juridisk prosess for registrerte som har fått sine data utlevert («</w:t>
      </w:r>
      <w:proofErr w:type="spellStart"/>
      <w:r w:rsidR="00FC0342" w:rsidRPr="00EE32B6">
        <w:t>transferred</w:t>
      </w:r>
      <w:proofErr w:type="spellEnd"/>
      <w:r w:rsidR="00FC0342" w:rsidRPr="00EE32B6">
        <w:t>»).</w:t>
      </w:r>
      <w:r w:rsidR="00FC0342" w:rsidRPr="00EE32B6">
        <w:rPr>
          <w:rStyle w:val="Fotnotereferanse"/>
        </w:rPr>
        <w:footnoteReference w:id="28"/>
      </w:r>
      <w:r w:rsidR="00FC0342" w:rsidRPr="00EE32B6">
        <w:t xml:space="preserve"> </w:t>
      </w:r>
      <w:r w:rsidR="00283B19" w:rsidRPr="00EE32B6">
        <w:t xml:space="preserve">Under </w:t>
      </w:r>
      <w:r w:rsidR="00A70B72" w:rsidRPr="00EE32B6">
        <w:t>visse</w:t>
      </w:r>
      <w:r w:rsidR="00283B19" w:rsidRPr="00EE32B6">
        <w:t xml:space="preserve"> omstendigheter gir PDPA «data </w:t>
      </w:r>
      <w:proofErr w:type="spellStart"/>
      <w:r w:rsidR="00283B19" w:rsidRPr="00EE32B6">
        <w:t>subjects</w:t>
      </w:r>
      <w:proofErr w:type="spellEnd"/>
      <w:r w:rsidR="00283B19" w:rsidRPr="00EE32B6">
        <w:t xml:space="preserve">» rett til å </w:t>
      </w:r>
      <w:r w:rsidRPr="00EE32B6">
        <w:t xml:space="preserve">protestere en behandling, </w:t>
      </w:r>
      <w:r w:rsidR="0078537B" w:rsidRPr="00EE32B6">
        <w:t>gjennomgå, revidere, supplere eller slette personopplysninger om seg.</w:t>
      </w:r>
      <w:r w:rsidR="00283B19" w:rsidRPr="00EE32B6">
        <w:t xml:space="preserve"> </w:t>
      </w:r>
      <w:r w:rsidR="00393961" w:rsidRPr="00EE32B6">
        <w:t xml:space="preserve">Dette punktet er imidlertid kun </w:t>
      </w:r>
      <w:r w:rsidR="00FC0342" w:rsidRPr="00EE32B6">
        <w:t>relevant i</w:t>
      </w:r>
      <w:r w:rsidR="001908F7" w:rsidRPr="00EE32B6">
        <w:t xml:space="preserve"> den grad rettsmidlene </w:t>
      </w:r>
      <w:r w:rsidR="006A430E" w:rsidRPr="00EE32B6">
        <w:t>nevnt</w:t>
      </w:r>
      <w:r w:rsidR="00B67F80" w:rsidRPr="00EE32B6">
        <w:t xml:space="preserve"> i </w:t>
      </w:r>
      <w:r w:rsidR="001908F7" w:rsidRPr="00EE32B6">
        <w:t>PDPA</w:t>
      </w:r>
      <w:r w:rsidR="00FC0342" w:rsidRPr="00EE32B6">
        <w:t xml:space="preserve"> også</w:t>
      </w:r>
      <w:r w:rsidR="001908F7" w:rsidRPr="00EE32B6">
        <w:t xml:space="preserve"> kan gjøres gjeldene</w:t>
      </w:r>
      <w:r w:rsidR="005433AE" w:rsidRPr="00EE32B6">
        <w:t xml:space="preserve"> </w:t>
      </w:r>
      <w:r w:rsidR="00BD1CDA" w:rsidRPr="00EE32B6">
        <w:t>opp mot overvåkning med hjemmel i</w:t>
      </w:r>
      <w:r w:rsidR="00B67F80" w:rsidRPr="00EE32B6">
        <w:t xml:space="preserve"> CSSA</w:t>
      </w:r>
      <w:r w:rsidR="00393961" w:rsidRPr="00EE32B6">
        <w:t>, hvilket er usikkert.</w:t>
      </w:r>
      <w:r w:rsidR="00FC0342" w:rsidRPr="00EE32B6">
        <w:t xml:space="preserve"> </w:t>
      </w:r>
      <w:r w:rsidR="00776F95" w:rsidRPr="00EE32B6">
        <w:br/>
      </w:r>
    </w:p>
    <w:p w14:paraId="7FC0643C" w14:textId="2914E2FC" w:rsidR="00890BC9" w:rsidRPr="00EE32B6" w:rsidRDefault="00890BC9" w:rsidP="00890BC9">
      <w:pPr>
        <w:pStyle w:val="Overskrift4"/>
        <w:numPr>
          <w:ilvl w:val="3"/>
          <w:numId w:val="6"/>
        </w:numPr>
      </w:pPr>
      <w:r w:rsidRPr="00EE32B6">
        <w:t>Delkonklusjon</w:t>
      </w:r>
    </w:p>
    <w:p w14:paraId="4ECD35B9" w14:textId="441AD136" w:rsidR="007248C6" w:rsidRDefault="0004167D" w:rsidP="00140764">
      <w:r>
        <w:t xml:space="preserve">Prosjektets vurdering er at </w:t>
      </w:r>
      <w:r w:rsidR="009D2273" w:rsidRPr="00EE32B6">
        <w:t xml:space="preserve">CSSA </w:t>
      </w:r>
      <w:r>
        <w:t xml:space="preserve">ikke </w:t>
      </w:r>
      <w:r w:rsidR="009D2273" w:rsidRPr="00EE32B6">
        <w:t xml:space="preserve">oppfyller </w:t>
      </w:r>
      <w:r w:rsidR="0053281F" w:rsidRPr="00EE32B6">
        <w:t>de grunnleggende</w:t>
      </w:r>
      <w:r w:rsidR="00F063AF" w:rsidRPr="00EE32B6">
        <w:t xml:space="preserve"> europeiske garantiene</w:t>
      </w:r>
      <w:r w:rsidR="00C418CB" w:rsidRPr="00EE32B6">
        <w:t>.</w:t>
      </w:r>
      <w:r w:rsidR="00AE377A" w:rsidRPr="00EE32B6">
        <w:t xml:space="preserve"> Dette gjelder garanti C og D.</w:t>
      </w:r>
      <w:r w:rsidR="0053314F">
        <w:t xml:space="preserve"> </w:t>
      </w:r>
      <w:r w:rsidR="0053314F" w:rsidRPr="0053314F">
        <w:t xml:space="preserve">Konsekvensene av dette er at prosjektet må vurdere behovet for ytterligere supplerende tiltak for å sikre </w:t>
      </w:r>
      <w:r w:rsidR="005A30E0">
        <w:t xml:space="preserve">tilstrekkelig beskyttelsesnivå for </w:t>
      </w:r>
      <w:r w:rsidR="0053314F" w:rsidRPr="0053314F">
        <w:t>overføringen av personopplysninger.</w:t>
      </w:r>
    </w:p>
    <w:p w14:paraId="78FE86CE" w14:textId="77777777" w:rsidR="007248C6" w:rsidRPr="00EE32B6" w:rsidRDefault="007248C6" w:rsidP="00140764"/>
    <w:p w14:paraId="54E32DB0" w14:textId="5417A2A4" w:rsidR="00F57C3D" w:rsidRPr="00EE32B6" w:rsidRDefault="00CD0835" w:rsidP="00241913">
      <w:pPr>
        <w:pStyle w:val="Overskrift3"/>
      </w:pPr>
      <w:bookmarkStart w:id="45" w:name="_Toc175831473"/>
      <w:r>
        <w:t>H</w:t>
      </w:r>
      <w:r w:rsidR="00576A9A">
        <w:t>vordan håndheves de relevante regelverkene</w:t>
      </w:r>
      <w:r>
        <w:t xml:space="preserve"> i praksis</w:t>
      </w:r>
      <w:bookmarkEnd w:id="45"/>
    </w:p>
    <w:p w14:paraId="249B52A0" w14:textId="12EA65F6" w:rsidR="00E427AE" w:rsidRDefault="00F00467" w:rsidP="00F57C3D">
      <w:r>
        <w:t>Prosjektet vurderer videre</w:t>
      </w:r>
      <w:r w:rsidR="00CD2362">
        <w:t xml:space="preserve"> hvordan regelverkene som gjelder for overføringen </w:t>
      </w:r>
      <w:r w:rsidR="000963D4">
        <w:t>gjennomføres i praksis</w:t>
      </w:r>
      <w:r w:rsidR="004F20EC" w:rsidRPr="00EE32B6">
        <w:t xml:space="preserve">. </w:t>
      </w:r>
    </w:p>
    <w:p w14:paraId="792E018D" w14:textId="102A2624" w:rsidR="000963D4" w:rsidRDefault="002C1968" w:rsidP="00F57C3D">
      <w:r>
        <w:t>Etter EDPBs veiledning kan</w:t>
      </w:r>
      <w:r w:rsidR="00297B5C">
        <w:t xml:space="preserve"> en analyse</w:t>
      </w:r>
      <w:r w:rsidR="00DC66D4">
        <w:t xml:space="preserve"> av</w:t>
      </w:r>
      <w:r w:rsidR="00297B5C">
        <w:t xml:space="preserve"> </w:t>
      </w:r>
      <w:r w:rsidR="00DC66D4">
        <w:t>tredjelandets praksis</w:t>
      </w:r>
      <w:r>
        <w:t xml:space="preserve"> bidra</w:t>
      </w:r>
      <w:r w:rsidR="00B1666D">
        <w:t xml:space="preserve"> til å verifisere </w:t>
      </w:r>
      <w:r w:rsidR="000B689F">
        <w:t xml:space="preserve">vurderingen av lovgivningen opp mot de grunnleggende garantiene. </w:t>
      </w:r>
      <w:r w:rsidR="00E427AE">
        <w:t xml:space="preserve">Ettersom CSSA ikke oppfyller </w:t>
      </w:r>
      <w:r w:rsidR="00C71975">
        <w:t xml:space="preserve">de grunnleggende garantiene vil det i utgangspunktet ikke være nødvendig å trekke inn og vektlegge praksis </w:t>
      </w:r>
      <w:r w:rsidR="009C6C2A">
        <w:t xml:space="preserve">på denne måten. </w:t>
      </w:r>
      <w:r w:rsidR="00345AA7">
        <w:t>Prosjektet velger likevel å inkludere</w:t>
      </w:r>
      <w:r w:rsidR="00902472">
        <w:t xml:space="preserve"> en beskrivelse av praksis fordi </w:t>
      </w:r>
      <w:r w:rsidR="00F71B6B">
        <w:t xml:space="preserve">praksis er relevant for å </w:t>
      </w:r>
      <w:r w:rsidR="008A7E20">
        <w:t>identifisere</w:t>
      </w:r>
      <w:r w:rsidR="00F71B6B">
        <w:t xml:space="preserve"> </w:t>
      </w:r>
      <w:r w:rsidR="00863779">
        <w:t>supplerende sikkerhetstiltak</w:t>
      </w:r>
      <w:r w:rsidR="00F71B6B">
        <w:t xml:space="preserve"> i neste steg i TIA-en.</w:t>
      </w:r>
    </w:p>
    <w:p w14:paraId="3D9E3F0B" w14:textId="2DA81327" w:rsidR="00A8651A" w:rsidRDefault="003C6C76" w:rsidP="00F57C3D">
      <w:r>
        <w:t>Redegjørelsen</w:t>
      </w:r>
      <w:r w:rsidR="0010646B">
        <w:t xml:space="preserve"> under </w:t>
      </w:r>
      <w:r w:rsidR="00450F08">
        <w:t>inneholder</w:t>
      </w:r>
      <w:r w:rsidR="009423A9">
        <w:t xml:space="preserve"> </w:t>
      </w:r>
      <w:r w:rsidR="0010646B">
        <w:t>en gjennomgang av praksis fra</w:t>
      </w:r>
      <w:r>
        <w:t xml:space="preserve"> </w:t>
      </w:r>
      <w:r w:rsidR="00D6022C">
        <w:t>PDPA, CSSA</w:t>
      </w:r>
      <w:r w:rsidR="001F4AC0">
        <w:t>, Google</w:t>
      </w:r>
      <w:r w:rsidR="00C8282D">
        <w:t>, i tillegg til en gjen</w:t>
      </w:r>
      <w:r w:rsidR="008F185E">
        <w:t>n</w:t>
      </w:r>
      <w:r w:rsidR="00C8282D">
        <w:t>omgang</w:t>
      </w:r>
      <w:r w:rsidR="0010646B">
        <w:t xml:space="preserve"> av</w:t>
      </w:r>
      <w:r w:rsidR="001F4AC0">
        <w:t xml:space="preserve"> </w:t>
      </w:r>
      <w:r w:rsidR="00C130DC">
        <w:t xml:space="preserve">«Taiwan Internett </w:t>
      </w:r>
      <w:proofErr w:type="spellStart"/>
      <w:r w:rsidR="00C130DC">
        <w:t>Transparency</w:t>
      </w:r>
      <w:proofErr w:type="spellEnd"/>
      <w:r w:rsidR="00C130DC">
        <w:t xml:space="preserve"> Report»</w:t>
      </w:r>
      <w:r w:rsidR="001E57B8">
        <w:t xml:space="preserve"> levert av Taiwan Association for Human Rights</w:t>
      </w:r>
      <w:r w:rsidR="00F06885">
        <w:t xml:space="preserve">. </w:t>
      </w:r>
      <w:r w:rsidR="00F34875">
        <w:t>Til sist følge</w:t>
      </w:r>
      <w:r w:rsidR="009423A9">
        <w:t>r</w:t>
      </w:r>
      <w:r w:rsidR="00F34875">
        <w:t xml:space="preserve"> en oppsummering av </w:t>
      </w:r>
      <w:r w:rsidR="000B217C">
        <w:t>dialog med lokal ekspertise i Taiwan.</w:t>
      </w:r>
      <w:r w:rsidR="00172D41">
        <w:t xml:space="preserve"> </w:t>
      </w:r>
    </w:p>
    <w:p w14:paraId="20D3D5A2" w14:textId="506B509C" w:rsidR="00FC78EE" w:rsidRDefault="004922BA" w:rsidP="00BF4680">
      <w:pPr>
        <w:pStyle w:val="Overskrift4"/>
        <w:numPr>
          <w:ilvl w:val="2"/>
          <w:numId w:val="6"/>
        </w:numPr>
      </w:pPr>
      <w:r>
        <w:lastRenderedPageBreak/>
        <w:t xml:space="preserve">Domstolspraksis </w:t>
      </w:r>
    </w:p>
    <w:p w14:paraId="7738073D" w14:textId="11F9A2A6" w:rsidR="00D36350" w:rsidRDefault="00D36350" w:rsidP="00D36350">
      <w:pPr>
        <w:pStyle w:val="Overskrift4"/>
        <w:numPr>
          <w:ilvl w:val="3"/>
          <w:numId w:val="6"/>
        </w:numPr>
      </w:pPr>
      <w:r>
        <w:t>Domstolvesenet i Taiwan</w:t>
      </w:r>
    </w:p>
    <w:p w14:paraId="79BCA877" w14:textId="77777777" w:rsidR="00D36350" w:rsidRDefault="00D36350" w:rsidP="00D36350">
      <w:r>
        <w:t>«</w:t>
      </w:r>
      <w:proofErr w:type="spellStart"/>
      <w:r>
        <w:t>Judicial</w:t>
      </w:r>
      <w:proofErr w:type="spellEnd"/>
      <w:r>
        <w:t xml:space="preserve"> Yuan» er en gren av den sentrale statsforvaltningen og utgjør det statlige rettsapparatet med domstoler i Taiwan. Ansvaret for- og driften av den Taiwanske konstitusjonsdomstolen er dermed lagt til «</w:t>
      </w:r>
      <w:proofErr w:type="spellStart"/>
      <w:r>
        <w:t>Judicial</w:t>
      </w:r>
      <w:proofErr w:type="spellEnd"/>
      <w:r>
        <w:t xml:space="preserve"> Yuan», sammen med øvrige deler av det fungerende rettssystemet, herunder ordinære domstoler, ankedomstoler, distriktsdomstol, høyesterett m.m.</w:t>
      </w:r>
    </w:p>
    <w:p w14:paraId="51CA9403" w14:textId="27B954FF" w:rsidR="00D36350" w:rsidRDefault="00D36350" w:rsidP="00D36350">
      <w:r>
        <w:t>Konstitusjonsdomstolen består av 15 dommere utnevnt av presidenten i Taiwan. Dommerne kan ikke tre inn i embetet uten samtykke fra «Legislative Yuan», som er de</w:t>
      </w:r>
      <w:r w:rsidR="00C25FF2">
        <w:t>t</w:t>
      </w:r>
      <w:r>
        <w:t xml:space="preserve"> lovgivende organ i Taiwan. Innsetting av konstitusjonsdommere</w:t>
      </w:r>
      <w:r w:rsidR="00FE0AD1">
        <w:t xml:space="preserve"> synes</w:t>
      </w:r>
      <w:r>
        <w:t xml:space="preserve"> å være gjenstand for kontroll både fra den lovgivende- og den utøvende makt. Utvelgelsesprosessen </w:t>
      </w:r>
      <w:r w:rsidR="0004167D">
        <w:t>har dermed</w:t>
      </w:r>
      <w:r>
        <w:t xml:space="preserve"> et visst politisk preg.</w:t>
      </w:r>
    </w:p>
    <w:p w14:paraId="528D9E95" w14:textId="0EC5A38F" w:rsidR="005D03E6" w:rsidRPr="00D36350" w:rsidRDefault="005D03E6" w:rsidP="005D03E6">
      <w:pPr>
        <w:pStyle w:val="Overskrift4"/>
        <w:numPr>
          <w:ilvl w:val="3"/>
          <w:numId w:val="6"/>
        </w:numPr>
      </w:pPr>
      <w:r>
        <w:t>PDPA</w:t>
      </w:r>
    </w:p>
    <w:p w14:paraId="20B174A5" w14:textId="77777777" w:rsidR="00330054" w:rsidRDefault="00FC78EE" w:rsidP="00137B56">
      <w:r w:rsidRPr="00EE32B6">
        <w:t>Det finnes flere eksempler på domsbeslutninger som angår PDPA og tilgrensende lovverk i Taiwan. Dette er dommer avsagt av den øverste administrative domstolen («</w:t>
      </w:r>
      <w:proofErr w:type="spellStart"/>
      <w:r w:rsidRPr="00EE32B6">
        <w:t>Supreme</w:t>
      </w:r>
      <w:proofErr w:type="spellEnd"/>
      <w:r w:rsidRPr="00EE32B6">
        <w:t xml:space="preserve"> Administrativ Court»), ankedomstolen «Taiwan High Court», samt av «Taipei District Court».</w:t>
      </w:r>
      <w:r w:rsidRPr="00EE32B6">
        <w:rPr>
          <w:rStyle w:val="Fotnotereferanse"/>
        </w:rPr>
        <w:footnoteReference w:id="29"/>
      </w:r>
      <w:r w:rsidRPr="00EE32B6">
        <w:t xml:space="preserve"> Dommene gjelder i hovedsak håndheving og etterlevelse av rettighetene etter PDPA, og særlig avveiningen av disse rettighetene opp mot statlige interesser og hensyn. </w:t>
      </w:r>
    </w:p>
    <w:p w14:paraId="304F7DE5" w14:textId="04C1A56E" w:rsidR="00E01715" w:rsidRDefault="006A2CB7" w:rsidP="00137B56">
      <w:r>
        <w:t>Prosjektet kan ikke se</w:t>
      </w:r>
      <w:r w:rsidR="006F7F73" w:rsidRPr="00EE32B6">
        <w:t xml:space="preserve"> at </w:t>
      </w:r>
      <w:r w:rsidR="00ED4471">
        <w:t>det</w:t>
      </w:r>
      <w:r w:rsidR="0004167D">
        <w:t xml:space="preserve"> finnes</w:t>
      </w:r>
      <w:r w:rsidR="004321A4">
        <w:t xml:space="preserve"> </w:t>
      </w:r>
      <w:r w:rsidR="00CB6423">
        <w:t>domsbeslutninger som angår PDPA</w:t>
      </w:r>
      <w:r w:rsidR="00ED4471">
        <w:t xml:space="preserve"> </w:t>
      </w:r>
      <w:r w:rsidR="0004167D">
        <w:t xml:space="preserve">og som det </w:t>
      </w:r>
      <w:r w:rsidR="006F7F73" w:rsidRPr="00EE32B6">
        <w:t xml:space="preserve">er relevante å drøfte i denne </w:t>
      </w:r>
      <w:r w:rsidR="0004167D">
        <w:t>analysen</w:t>
      </w:r>
      <w:r w:rsidR="006F7F73" w:rsidRPr="00EE32B6">
        <w:t xml:space="preserve">. </w:t>
      </w:r>
      <w:r w:rsidR="0004167D">
        <w:t>Grunne</w:t>
      </w:r>
      <w:r w:rsidR="00026F7B">
        <w:t>n</w:t>
      </w:r>
      <w:r w:rsidR="0004167D">
        <w:t xml:space="preserve"> til det er at </w:t>
      </w:r>
      <w:r w:rsidR="006F7F73" w:rsidRPr="00EE32B6">
        <w:t xml:space="preserve">PDPA, </w:t>
      </w:r>
      <w:r w:rsidR="0004167D">
        <w:t xml:space="preserve">slik </w:t>
      </w:r>
      <w:r w:rsidR="006F7F73" w:rsidRPr="00EE32B6">
        <w:t>prosjektet</w:t>
      </w:r>
      <w:r w:rsidR="0004167D">
        <w:t xml:space="preserve"> ser det, </w:t>
      </w:r>
      <w:r w:rsidR="006F7F73" w:rsidRPr="00EE32B6">
        <w:t xml:space="preserve">ikke verner norske brukere av GWE som er lokalisert i Norge. </w:t>
      </w:r>
      <w:r w:rsidR="0004167D">
        <w:t>Vi går derfor ikke nærmere inn på</w:t>
      </w:r>
      <w:r w:rsidR="006F7F73" w:rsidRPr="00EE32B6">
        <w:t xml:space="preserve"> PDPA </w:t>
      </w:r>
      <w:r w:rsidR="0004167D">
        <w:t xml:space="preserve">i </w:t>
      </w:r>
      <w:r w:rsidR="006F7F73" w:rsidRPr="00EE32B6">
        <w:t xml:space="preserve">denne </w:t>
      </w:r>
      <w:r w:rsidR="000074B6">
        <w:t>landvurderingen</w:t>
      </w:r>
      <w:r w:rsidR="006F7F73" w:rsidRPr="00EE32B6">
        <w:t xml:space="preserve">. </w:t>
      </w:r>
    </w:p>
    <w:p w14:paraId="43EB91B6" w14:textId="273EEB42" w:rsidR="00661F0D" w:rsidRPr="00661F0D" w:rsidRDefault="00AA32B9" w:rsidP="00661F0D">
      <w:pPr>
        <w:pStyle w:val="Overskrift5"/>
        <w:numPr>
          <w:ilvl w:val="3"/>
          <w:numId w:val="6"/>
        </w:numPr>
      </w:pPr>
      <w:r>
        <w:t>S</w:t>
      </w:r>
      <w:r w:rsidR="00D03F7B">
        <w:t>ak nr.</w:t>
      </w:r>
      <w:r w:rsidR="0004167D">
        <w:t xml:space="preserve"> </w:t>
      </w:r>
      <w:r w:rsidR="00D03F7B">
        <w:t>631.</w:t>
      </w:r>
    </w:p>
    <w:p w14:paraId="268DBA36" w14:textId="65C0DA30" w:rsidR="00592E4A" w:rsidRDefault="000E29ED" w:rsidP="00AE6CF6">
      <w:r>
        <w:t>D</w:t>
      </w:r>
      <w:r w:rsidR="001215C8" w:rsidRPr="00EE32B6">
        <w:t xml:space="preserve">en Taiwanske </w:t>
      </w:r>
      <w:r w:rsidR="005866A4" w:rsidRPr="00EE32B6">
        <w:t xml:space="preserve">konstitusjonsdomstolen </w:t>
      </w:r>
      <w:r>
        <w:t xml:space="preserve">har </w:t>
      </w:r>
      <w:r w:rsidR="00286B83" w:rsidRPr="00EE32B6">
        <w:t>publisert</w:t>
      </w:r>
      <w:r w:rsidR="0080788B">
        <w:t xml:space="preserve"> en</w:t>
      </w:r>
      <w:r w:rsidR="00286B83" w:rsidRPr="00EE32B6">
        <w:t xml:space="preserve"> «</w:t>
      </w:r>
      <w:proofErr w:type="spellStart"/>
      <w:r w:rsidR="00286B83" w:rsidRPr="00EE32B6">
        <w:t>interpretation</w:t>
      </w:r>
      <w:proofErr w:type="spellEnd"/>
      <w:r w:rsidR="00286B83" w:rsidRPr="00EE32B6">
        <w:t>»</w:t>
      </w:r>
      <w:r w:rsidR="00F365B9">
        <w:t xml:space="preserve"> </w:t>
      </w:r>
      <w:r w:rsidR="0018429B">
        <w:t>(heretter tolkning)</w:t>
      </w:r>
      <w:r w:rsidR="00654C2B">
        <w:t xml:space="preserve"> kalt </w:t>
      </w:r>
      <w:r w:rsidR="00E85FB0" w:rsidRPr="00EE32B6">
        <w:t>«</w:t>
      </w:r>
      <w:proofErr w:type="spellStart"/>
      <w:r w:rsidR="00E85FB0" w:rsidRPr="00EE32B6">
        <w:t>Issuance</w:t>
      </w:r>
      <w:proofErr w:type="spellEnd"/>
      <w:r w:rsidR="00E85FB0" w:rsidRPr="00EE32B6">
        <w:t xml:space="preserve"> </w:t>
      </w:r>
      <w:proofErr w:type="spellStart"/>
      <w:r w:rsidR="00E85FB0" w:rsidRPr="00EE32B6">
        <w:t>of</w:t>
      </w:r>
      <w:proofErr w:type="spellEnd"/>
      <w:r w:rsidR="00E85FB0" w:rsidRPr="00EE32B6">
        <w:t xml:space="preserve"> Communications </w:t>
      </w:r>
      <w:proofErr w:type="spellStart"/>
      <w:r w:rsidR="00E85FB0" w:rsidRPr="00EE32B6">
        <w:t>Surveillance</w:t>
      </w:r>
      <w:proofErr w:type="spellEnd"/>
      <w:r w:rsidR="00E85FB0" w:rsidRPr="00EE32B6">
        <w:t xml:space="preserve"> </w:t>
      </w:r>
      <w:proofErr w:type="spellStart"/>
      <w:r w:rsidR="00E85FB0" w:rsidRPr="00EE32B6">
        <w:t>Warrants</w:t>
      </w:r>
      <w:proofErr w:type="spellEnd"/>
      <w:r w:rsidR="00E85FB0" w:rsidRPr="00EE32B6">
        <w:t xml:space="preserve"> Case»</w:t>
      </w:r>
      <w:r w:rsidR="008206A9" w:rsidRPr="008206A9">
        <w:t xml:space="preserve"> </w:t>
      </w:r>
      <w:r w:rsidR="008206A9">
        <w:t>(</w:t>
      </w:r>
      <w:r w:rsidR="008206A9" w:rsidRPr="00EE32B6">
        <w:t>tolkning nr. 631 fra 2007</w:t>
      </w:r>
      <w:r w:rsidR="008206A9">
        <w:t>)</w:t>
      </w:r>
      <w:r w:rsidR="00BC190F">
        <w:t>.</w:t>
      </w:r>
      <w:r w:rsidR="000E2BC9">
        <w:t xml:space="preserve"> </w:t>
      </w:r>
      <w:r w:rsidR="00043D57">
        <w:t>K</w:t>
      </w:r>
      <w:r w:rsidR="00C235C8">
        <w:t>onstitusjonsdomstolen</w:t>
      </w:r>
      <w:r w:rsidR="000E2BC9">
        <w:t xml:space="preserve"> er</w:t>
      </w:r>
      <w:r w:rsidR="00C235C8">
        <w:t xml:space="preserve"> en del av </w:t>
      </w:r>
      <w:r w:rsidR="00043D57">
        <w:t>det Taiwanske «</w:t>
      </w:r>
      <w:proofErr w:type="spellStart"/>
      <w:r w:rsidR="00043D57">
        <w:t>Judicial</w:t>
      </w:r>
      <w:proofErr w:type="spellEnd"/>
      <w:r w:rsidR="00043D57">
        <w:t xml:space="preserve"> Yuan».</w:t>
      </w:r>
      <w:r w:rsidR="00BC190F">
        <w:t xml:space="preserve"> Tolkningen gjelder rettsanvendelsen </w:t>
      </w:r>
      <w:r w:rsidR="003113F8">
        <w:t xml:space="preserve">i </w:t>
      </w:r>
      <w:proofErr w:type="spellStart"/>
      <w:r w:rsidR="008206A9">
        <w:t>Criminal</w:t>
      </w:r>
      <w:proofErr w:type="spellEnd"/>
      <w:r w:rsidR="008206A9">
        <w:t xml:space="preserve"> </w:t>
      </w:r>
      <w:proofErr w:type="spellStart"/>
      <w:r w:rsidR="00543751">
        <w:t>Judgement</w:t>
      </w:r>
      <w:proofErr w:type="spellEnd"/>
      <w:r w:rsidR="00543751">
        <w:t xml:space="preserve"> 92- Shang-Su-882 (2003) </w:t>
      </w:r>
      <w:r w:rsidR="003113F8">
        <w:t xml:space="preserve">som ble </w:t>
      </w:r>
      <w:r w:rsidR="00543751">
        <w:t xml:space="preserve">avsagt i </w:t>
      </w:r>
      <w:r w:rsidR="008206A9">
        <w:t>«Taiwan High Court»</w:t>
      </w:r>
      <w:r w:rsidR="00DC6E6A">
        <w:t>.</w:t>
      </w:r>
      <w:r w:rsidR="00DC6E6A" w:rsidRPr="00EE32B6">
        <w:rPr>
          <w:rStyle w:val="Fotnotereferanse"/>
        </w:rPr>
        <w:footnoteReference w:id="30"/>
      </w:r>
      <w:r w:rsidR="00DC6E6A" w:rsidRPr="00EE32B6">
        <w:t xml:space="preserve"> </w:t>
      </w:r>
    </w:p>
    <w:p w14:paraId="39414F1E" w14:textId="788855AE" w:rsidR="009E776E" w:rsidRDefault="00C17D5F" w:rsidP="00CE73A5">
      <w:r>
        <w:t>Tolkningen</w:t>
      </w:r>
      <w:r w:rsidR="00195BE1">
        <w:t xml:space="preserve"> </w:t>
      </w:r>
      <w:r w:rsidR="00DC2C63">
        <w:t>omhandler grunnlovmessigheten av artikkel 5 paragraf 2 i CSSA opp mot ar</w:t>
      </w:r>
      <w:r w:rsidR="00195BE1">
        <w:t>tikkel 12</w:t>
      </w:r>
      <w:r w:rsidR="00425FA7">
        <w:t xml:space="preserve"> </w:t>
      </w:r>
      <w:r w:rsidR="004C5D78">
        <w:t xml:space="preserve">i Taiwans grunnlov </w:t>
      </w:r>
      <w:r w:rsidR="00425FA7">
        <w:t>om «</w:t>
      </w:r>
      <w:proofErr w:type="spellStart"/>
      <w:r w:rsidR="00425FA7">
        <w:t>freedom</w:t>
      </w:r>
      <w:proofErr w:type="spellEnd"/>
      <w:r w:rsidR="00425FA7">
        <w:t xml:space="preserve"> </w:t>
      </w:r>
      <w:proofErr w:type="spellStart"/>
      <w:r w:rsidR="00425FA7">
        <w:t>of</w:t>
      </w:r>
      <w:proofErr w:type="spellEnd"/>
      <w:r w:rsidR="00425FA7">
        <w:t xml:space="preserve"> </w:t>
      </w:r>
      <w:proofErr w:type="spellStart"/>
      <w:r w:rsidR="00425FA7">
        <w:t>secrecy</w:t>
      </w:r>
      <w:proofErr w:type="spellEnd"/>
      <w:r w:rsidR="00425FA7">
        <w:t xml:space="preserve"> </w:t>
      </w:r>
      <w:proofErr w:type="spellStart"/>
      <w:r w:rsidR="00425FA7">
        <w:t>of</w:t>
      </w:r>
      <w:proofErr w:type="spellEnd"/>
      <w:r w:rsidR="00425FA7">
        <w:t xml:space="preserve"> </w:t>
      </w:r>
      <w:proofErr w:type="spellStart"/>
      <w:r w:rsidR="00425FA7">
        <w:t>correspondence</w:t>
      </w:r>
      <w:proofErr w:type="spellEnd"/>
      <w:r w:rsidR="00425FA7">
        <w:t>»</w:t>
      </w:r>
      <w:r w:rsidR="00F742A0">
        <w:t xml:space="preserve">, og </w:t>
      </w:r>
      <w:r w:rsidR="002F5809">
        <w:t>vektes</w:t>
      </w:r>
      <w:r w:rsidR="00CE73A5">
        <w:t xml:space="preserve"> </w:t>
      </w:r>
      <w:r w:rsidR="003371B0">
        <w:t xml:space="preserve">i Taiwan </w:t>
      </w:r>
      <w:r w:rsidR="00CE73A5">
        <w:t>som et autoritativt tolkningsbidrag inn mot håndhevingen av regelverket</w:t>
      </w:r>
      <w:r w:rsidR="00247DBA">
        <w:t>,</w:t>
      </w:r>
      <w:r w:rsidR="00CE73A5">
        <w:t xml:space="preserve"> både for alminnelige rettsanvendere i Taiwan, men også for øvrige domstoler.</w:t>
      </w:r>
      <w:r w:rsidR="008D46DD">
        <w:t xml:space="preserve"> </w:t>
      </w:r>
    </w:p>
    <w:p w14:paraId="02AEE1AB" w14:textId="371E4B40" w:rsidR="005F333C" w:rsidRDefault="002F5809" w:rsidP="00AE6CF6">
      <w:r>
        <w:t xml:space="preserve">Saken gjaldt </w:t>
      </w:r>
      <w:r w:rsidR="00B86411">
        <w:t>overvåkning av en telefonsamtale mellom en</w:t>
      </w:r>
      <w:r w:rsidR="00A54EF2">
        <w:t xml:space="preserve"> Taiwansk</w:t>
      </w:r>
      <w:r w:rsidR="00B86411">
        <w:t xml:space="preserve"> politi</w:t>
      </w:r>
      <w:r w:rsidR="0004167D">
        <w:t xml:space="preserve">tjenestemann </w:t>
      </w:r>
      <w:r w:rsidR="00AB09F0">
        <w:t xml:space="preserve">og Ms. </w:t>
      </w:r>
      <w:proofErr w:type="spellStart"/>
      <w:r w:rsidR="00AB09F0">
        <w:t>X</w:t>
      </w:r>
      <w:proofErr w:type="spellEnd"/>
      <w:r w:rsidR="00AB09F0">
        <w:t>, der politi</w:t>
      </w:r>
      <w:r w:rsidR="0004167D">
        <w:t>tjenestemannen p</w:t>
      </w:r>
      <w:r w:rsidR="00AB09F0">
        <w:t xml:space="preserve">å forespørsel fra Ms. </w:t>
      </w:r>
      <w:proofErr w:type="spellStart"/>
      <w:r w:rsidR="00AB09F0">
        <w:t>X</w:t>
      </w:r>
      <w:proofErr w:type="spellEnd"/>
      <w:r w:rsidR="00AB09F0">
        <w:t xml:space="preserve"> hadde</w:t>
      </w:r>
      <w:r w:rsidR="0068568B">
        <w:t xml:space="preserve"> utlevert</w:t>
      </w:r>
      <w:r w:rsidR="00AB09F0">
        <w:t xml:space="preserve"> informasjon</w:t>
      </w:r>
      <w:r w:rsidR="003674D0">
        <w:t xml:space="preserve"> om Ms. KAO</w:t>
      </w:r>
      <w:r w:rsidR="00AB09F0">
        <w:t xml:space="preserve"> </w:t>
      </w:r>
      <w:r w:rsidR="0068568B">
        <w:t xml:space="preserve">fra </w:t>
      </w:r>
      <w:r w:rsidR="003674D0">
        <w:t>påtalemyndighetens database</w:t>
      </w:r>
      <w:r w:rsidR="00AB09F0">
        <w:t>.</w:t>
      </w:r>
      <w:r w:rsidR="003674D0">
        <w:t xml:space="preserve"> Utleveringen </w:t>
      </w:r>
      <w:r w:rsidR="00C9119A">
        <w:t xml:space="preserve">av informasjon </w:t>
      </w:r>
      <w:r w:rsidR="003674D0">
        <w:t>var ulovlig</w:t>
      </w:r>
      <w:r w:rsidR="00C9119A">
        <w:t xml:space="preserve"> </w:t>
      </w:r>
      <w:r w:rsidR="00265D26">
        <w:t>etter</w:t>
      </w:r>
      <w:r w:rsidR="00C9119A">
        <w:t xml:space="preserve"> taiwansk straffelov</w:t>
      </w:r>
      <w:r w:rsidR="003674D0">
        <w:t xml:space="preserve">, men </w:t>
      </w:r>
      <w:r w:rsidR="00FC2102">
        <w:t xml:space="preserve">fordi politiordre om overvåkning etter artikkel 5 paragraf 2 i CSSA ikke krever godkjenning fra en kompetent domstol, </w:t>
      </w:r>
      <w:r w:rsidR="00EE1298">
        <w:t>anførte</w:t>
      </w:r>
      <w:r w:rsidR="00FC2102">
        <w:t xml:space="preserve"> </w:t>
      </w:r>
      <w:r w:rsidR="003674D0">
        <w:t>politioffiseren</w:t>
      </w:r>
      <w:r w:rsidR="00E05298">
        <w:t xml:space="preserve"> at overvåkningen av telefonsamtalen var i strid med </w:t>
      </w:r>
      <w:r w:rsidR="00C45D2A">
        <w:t xml:space="preserve">artikkel 12 i den Taiwanske </w:t>
      </w:r>
      <w:r w:rsidR="00075691">
        <w:t>grunnloven</w:t>
      </w:r>
      <w:r w:rsidR="007732EA">
        <w:t>.</w:t>
      </w:r>
      <w:r w:rsidR="00AB09F0">
        <w:t xml:space="preserve"> </w:t>
      </w:r>
      <w:r w:rsidR="00980D10">
        <w:rPr>
          <w:rStyle w:val="Fotnotereferanse"/>
        </w:rPr>
        <w:footnoteReference w:id="31"/>
      </w:r>
    </w:p>
    <w:p w14:paraId="3C449254" w14:textId="6C011D03" w:rsidR="00B20F57" w:rsidRPr="00D357AC" w:rsidRDefault="00CB4101" w:rsidP="00DC2381">
      <w:pPr>
        <w:rPr>
          <w:lang w:val="en-GB"/>
        </w:rPr>
      </w:pPr>
      <w:r>
        <w:t>Under</w:t>
      </w:r>
      <w:r w:rsidR="004C7562">
        <w:t xml:space="preserve"> «</w:t>
      </w:r>
      <w:proofErr w:type="spellStart"/>
      <w:r w:rsidR="004C7562">
        <w:t>Reasoning</w:t>
      </w:r>
      <w:proofErr w:type="spellEnd"/>
      <w:r w:rsidR="004C7562">
        <w:t xml:space="preserve">» </w:t>
      </w:r>
      <w:r w:rsidR="00A37C78" w:rsidRPr="00EE32B6">
        <w:t>beskriver domstolen</w:t>
      </w:r>
      <w:r w:rsidR="004C7562">
        <w:t xml:space="preserve"> nærmere</w:t>
      </w:r>
      <w:r w:rsidR="00A37C78" w:rsidRPr="00EE32B6">
        <w:t xml:space="preserve"> </w:t>
      </w:r>
      <w:r w:rsidR="002D614E">
        <w:t>hvilke</w:t>
      </w:r>
      <w:r w:rsidR="00343CF7" w:rsidRPr="00EE32B6">
        <w:t xml:space="preserve"> </w:t>
      </w:r>
      <w:r w:rsidR="00A37C78" w:rsidRPr="00EE32B6">
        <w:t>hensyn</w:t>
      </w:r>
      <w:r w:rsidR="00343CF7" w:rsidRPr="00EE32B6">
        <w:t xml:space="preserve"> og interesser</w:t>
      </w:r>
      <w:r w:rsidR="00A37C78" w:rsidRPr="00EE32B6">
        <w:t xml:space="preserve"> som</w:t>
      </w:r>
      <w:r w:rsidR="00AC6583" w:rsidRPr="00EE32B6">
        <w:t xml:space="preserve"> bør</w:t>
      </w:r>
      <w:r w:rsidR="00A37C78" w:rsidRPr="00EE32B6">
        <w:t xml:space="preserve"> ivaretas i håndhevingen av </w:t>
      </w:r>
      <w:r w:rsidR="004C7562">
        <w:t>CSS</w:t>
      </w:r>
      <w:r w:rsidR="00B65C60">
        <w:t xml:space="preserve">A. </w:t>
      </w:r>
      <w:r w:rsidRPr="00D357AC">
        <w:rPr>
          <w:lang w:val="en-GB"/>
        </w:rPr>
        <w:t xml:space="preserve">I </w:t>
      </w:r>
      <w:proofErr w:type="spellStart"/>
      <w:r w:rsidRPr="00D357AC">
        <w:rPr>
          <w:lang w:val="en-GB"/>
        </w:rPr>
        <w:t>omtalen</w:t>
      </w:r>
      <w:proofErr w:type="spellEnd"/>
      <w:r w:rsidRPr="00D357AC">
        <w:rPr>
          <w:lang w:val="en-GB"/>
        </w:rPr>
        <w:t xml:space="preserve"> </w:t>
      </w:r>
      <w:proofErr w:type="spellStart"/>
      <w:r w:rsidRPr="00D357AC">
        <w:rPr>
          <w:lang w:val="en-GB"/>
        </w:rPr>
        <w:t>av</w:t>
      </w:r>
      <w:proofErr w:type="spellEnd"/>
      <w:r w:rsidR="004D2144" w:rsidRPr="00D357AC">
        <w:rPr>
          <w:lang w:val="en-GB"/>
        </w:rPr>
        <w:t xml:space="preserve"> </w:t>
      </w:r>
      <w:proofErr w:type="spellStart"/>
      <w:r w:rsidR="0082603B" w:rsidRPr="00D357AC">
        <w:rPr>
          <w:lang w:val="en-GB"/>
        </w:rPr>
        <w:t>overvåkningsvirksomhet</w:t>
      </w:r>
      <w:proofErr w:type="spellEnd"/>
      <w:r w:rsidR="0082603B" w:rsidRPr="00D357AC">
        <w:rPr>
          <w:lang w:val="en-GB"/>
        </w:rPr>
        <w:t xml:space="preserve"> med </w:t>
      </w:r>
      <w:proofErr w:type="spellStart"/>
      <w:r w:rsidR="0082603B" w:rsidRPr="00D357AC">
        <w:rPr>
          <w:lang w:val="en-GB"/>
        </w:rPr>
        <w:t>hjemmel</w:t>
      </w:r>
      <w:proofErr w:type="spellEnd"/>
      <w:r w:rsidR="0082603B" w:rsidRPr="00D357AC">
        <w:rPr>
          <w:lang w:val="en-GB"/>
        </w:rPr>
        <w:t xml:space="preserve"> i </w:t>
      </w:r>
      <w:proofErr w:type="spellStart"/>
      <w:r w:rsidR="002E73DE" w:rsidRPr="00D357AC">
        <w:rPr>
          <w:lang w:val="en-GB"/>
        </w:rPr>
        <w:t>artikkel</w:t>
      </w:r>
      <w:proofErr w:type="spellEnd"/>
      <w:r w:rsidR="002E73DE" w:rsidRPr="00D357AC">
        <w:rPr>
          <w:lang w:val="en-GB"/>
        </w:rPr>
        <w:t xml:space="preserve"> 2, 5 og 7 i CSSA</w:t>
      </w:r>
      <w:r w:rsidR="00D26A03" w:rsidRPr="00D357AC">
        <w:rPr>
          <w:lang w:val="en-GB"/>
        </w:rPr>
        <w:t xml:space="preserve">, </w:t>
      </w:r>
      <w:proofErr w:type="spellStart"/>
      <w:r w:rsidR="00AC6583" w:rsidRPr="00D357AC">
        <w:rPr>
          <w:lang w:val="en-GB"/>
        </w:rPr>
        <w:t>understreker</w:t>
      </w:r>
      <w:proofErr w:type="spellEnd"/>
      <w:r w:rsidR="00AC6583" w:rsidRPr="00D357AC">
        <w:rPr>
          <w:lang w:val="en-GB"/>
        </w:rPr>
        <w:t xml:space="preserve"> </w:t>
      </w:r>
      <w:proofErr w:type="spellStart"/>
      <w:r w:rsidR="00AC6583" w:rsidRPr="00D357AC">
        <w:rPr>
          <w:lang w:val="en-GB"/>
        </w:rPr>
        <w:t>domstolen</w:t>
      </w:r>
      <w:proofErr w:type="spellEnd"/>
      <w:r w:rsidR="00AC6583" w:rsidRPr="00D357AC">
        <w:rPr>
          <w:lang w:val="en-GB"/>
        </w:rPr>
        <w:t xml:space="preserve"> </w:t>
      </w:r>
      <w:r w:rsidR="00027D99" w:rsidRPr="00D357AC">
        <w:rPr>
          <w:lang w:val="en-GB"/>
        </w:rPr>
        <w:t xml:space="preserve">at </w:t>
      </w:r>
      <w:r w:rsidR="00A34148" w:rsidRPr="00D357AC">
        <w:rPr>
          <w:lang w:val="en-GB"/>
        </w:rPr>
        <w:t>«</w:t>
      </w:r>
      <w:r w:rsidR="00D66E3F" w:rsidRPr="00D357AC">
        <w:rPr>
          <w:lang w:val="en-GB"/>
        </w:rPr>
        <w:t>[c]</w:t>
      </w:r>
      <w:proofErr w:type="spellStart"/>
      <w:r w:rsidR="001B4E9F" w:rsidRPr="00D357AC">
        <w:rPr>
          <w:lang w:val="en-GB"/>
        </w:rPr>
        <w:t>ommunications</w:t>
      </w:r>
      <w:proofErr w:type="spellEnd"/>
      <w:r w:rsidR="001B4E9F" w:rsidRPr="00D357AC">
        <w:rPr>
          <w:lang w:val="en-GB"/>
        </w:rPr>
        <w:t xml:space="preserve"> surveillance is essentially a measure that violates the people’s basic rights with extreme force and in a broad way. </w:t>
      </w:r>
      <w:proofErr w:type="gramStart"/>
      <w:r w:rsidR="001B4E9F" w:rsidRPr="00D357AC">
        <w:rPr>
          <w:lang w:val="en-GB"/>
        </w:rPr>
        <w:t>In order to</w:t>
      </w:r>
      <w:proofErr w:type="gramEnd"/>
      <w:r w:rsidR="001B4E9F" w:rsidRPr="00D357AC">
        <w:rPr>
          <w:lang w:val="en-GB"/>
        </w:rPr>
        <w:t xml:space="preserve"> achieve the purpose of the </w:t>
      </w:r>
      <w:r w:rsidR="001B4E9F" w:rsidRPr="00D357AC">
        <w:rPr>
          <w:lang w:val="en-GB"/>
        </w:rPr>
        <w:lastRenderedPageBreak/>
        <w:t>coercive measure, when conducting communications surveillance, the State usually deprives those who are put under surveillance of their rights to avoid such coercive measure before the measure is adopted.</w:t>
      </w:r>
      <w:r w:rsidR="00D66E3F" w:rsidRPr="00D357AC">
        <w:rPr>
          <w:lang w:val="en-GB"/>
        </w:rPr>
        <w:t xml:space="preserve">». </w:t>
      </w:r>
    </w:p>
    <w:p w14:paraId="14389C33" w14:textId="5495A952" w:rsidR="0031612E" w:rsidRPr="00CB0BB4" w:rsidRDefault="00660019" w:rsidP="00DC2381">
      <w:pPr>
        <w:rPr>
          <w:lang w:val="en-GB"/>
        </w:rPr>
      </w:pPr>
      <w:proofErr w:type="spellStart"/>
      <w:r w:rsidRPr="00D357AC">
        <w:rPr>
          <w:lang w:val="en-GB"/>
        </w:rPr>
        <w:t>Videre</w:t>
      </w:r>
      <w:proofErr w:type="spellEnd"/>
      <w:r w:rsidR="008F3CBC" w:rsidRPr="00D357AC">
        <w:rPr>
          <w:lang w:val="en-GB"/>
        </w:rPr>
        <w:t xml:space="preserve"> </w:t>
      </w:r>
      <w:proofErr w:type="spellStart"/>
      <w:r w:rsidR="008F3CBC" w:rsidRPr="00D357AC">
        <w:rPr>
          <w:lang w:val="en-GB"/>
        </w:rPr>
        <w:t>fremheve</w:t>
      </w:r>
      <w:r w:rsidR="0004167D">
        <w:rPr>
          <w:lang w:val="en-GB"/>
        </w:rPr>
        <w:t>r</w:t>
      </w:r>
      <w:proofErr w:type="spellEnd"/>
      <w:r w:rsidR="0004167D">
        <w:rPr>
          <w:lang w:val="en-GB"/>
        </w:rPr>
        <w:t xml:space="preserve"> </w:t>
      </w:r>
      <w:proofErr w:type="spellStart"/>
      <w:r w:rsidR="0004167D">
        <w:rPr>
          <w:lang w:val="en-GB"/>
        </w:rPr>
        <w:t>domstolen</w:t>
      </w:r>
      <w:proofErr w:type="spellEnd"/>
      <w:r w:rsidR="00AC6583" w:rsidRPr="00CB0BB4">
        <w:rPr>
          <w:lang w:val="en-GB"/>
        </w:rPr>
        <w:t xml:space="preserve"> </w:t>
      </w:r>
      <w:proofErr w:type="spellStart"/>
      <w:r w:rsidR="00AC6583" w:rsidRPr="00CB0BB4">
        <w:rPr>
          <w:lang w:val="en-GB"/>
        </w:rPr>
        <w:t>viktigheten</w:t>
      </w:r>
      <w:proofErr w:type="spellEnd"/>
      <w:r w:rsidR="00AC6583" w:rsidRPr="00CB0BB4">
        <w:rPr>
          <w:lang w:val="en-GB"/>
        </w:rPr>
        <w:t xml:space="preserve"> </w:t>
      </w:r>
      <w:proofErr w:type="spellStart"/>
      <w:r w:rsidR="00AC6583" w:rsidRPr="00CB0BB4">
        <w:rPr>
          <w:lang w:val="en-GB"/>
        </w:rPr>
        <w:t>av</w:t>
      </w:r>
      <w:proofErr w:type="spellEnd"/>
      <w:r w:rsidR="00AC6583" w:rsidRPr="00CB0BB4">
        <w:rPr>
          <w:lang w:val="en-GB"/>
        </w:rPr>
        <w:t xml:space="preserve"> å </w:t>
      </w:r>
      <w:proofErr w:type="spellStart"/>
      <w:r w:rsidR="00A02A3B" w:rsidRPr="00CB0BB4">
        <w:rPr>
          <w:lang w:val="en-GB"/>
        </w:rPr>
        <w:t>begrense</w:t>
      </w:r>
      <w:proofErr w:type="spellEnd"/>
      <w:r w:rsidR="00B20F57" w:rsidRPr="00CB0BB4">
        <w:rPr>
          <w:lang w:val="en-GB"/>
        </w:rPr>
        <w:t xml:space="preserve"> </w:t>
      </w:r>
      <w:proofErr w:type="gramStart"/>
      <w:r w:rsidR="00B20F57" w:rsidRPr="00CB0BB4">
        <w:rPr>
          <w:lang w:val="en-GB"/>
        </w:rPr>
        <w:t>«</w:t>
      </w:r>
      <w:r w:rsidR="00EE32B6" w:rsidRPr="00CB0BB4">
        <w:rPr>
          <w:lang w:val="en-GB"/>
        </w:rPr>
        <w:t>[</w:t>
      </w:r>
      <w:proofErr w:type="gramEnd"/>
      <w:r w:rsidR="00EE32B6" w:rsidRPr="00CB0BB4">
        <w:rPr>
          <w:lang w:val="en-GB"/>
        </w:rPr>
        <w:t>…]</w:t>
      </w:r>
      <w:r w:rsidR="00B20F57" w:rsidRPr="00CB0BB4">
        <w:rPr>
          <w:lang w:val="en-GB"/>
        </w:rPr>
        <w:t>unnecessary violations of privacy rights that occur due to the coercive measure adopted by investigation authorities and at the same time not compromise the purpose of the coercive measure</w:t>
      </w:r>
      <w:r w:rsidR="00EE32B6" w:rsidRPr="00CB0BB4">
        <w:rPr>
          <w:lang w:val="en-GB"/>
        </w:rPr>
        <w:t>.</w:t>
      </w:r>
      <w:r w:rsidR="00B20F57" w:rsidRPr="00CB0BB4">
        <w:rPr>
          <w:lang w:val="en-GB"/>
        </w:rPr>
        <w:t xml:space="preserve">». </w:t>
      </w:r>
    </w:p>
    <w:p w14:paraId="290197AB" w14:textId="5ACD1F33" w:rsidR="00D66E3F" w:rsidRPr="00CB0BB4" w:rsidRDefault="008D603A" w:rsidP="00DC2381">
      <w:pPr>
        <w:rPr>
          <w:lang w:val="en-GB"/>
        </w:rPr>
      </w:pPr>
      <w:r w:rsidRPr="00CB0BB4">
        <w:rPr>
          <w:lang w:val="en-GB"/>
        </w:rPr>
        <w:t xml:space="preserve">For å </w:t>
      </w:r>
      <w:proofErr w:type="spellStart"/>
      <w:r w:rsidRPr="00CB0BB4">
        <w:rPr>
          <w:lang w:val="en-GB"/>
        </w:rPr>
        <w:t>begrense</w:t>
      </w:r>
      <w:proofErr w:type="spellEnd"/>
      <w:r w:rsidRPr="00CB0BB4">
        <w:rPr>
          <w:lang w:val="en-GB"/>
        </w:rPr>
        <w:t xml:space="preserve"> </w:t>
      </w:r>
      <w:proofErr w:type="spellStart"/>
      <w:r w:rsidRPr="00CB0BB4">
        <w:rPr>
          <w:lang w:val="en-GB"/>
        </w:rPr>
        <w:t>graden</w:t>
      </w:r>
      <w:proofErr w:type="spellEnd"/>
      <w:r w:rsidRPr="00CB0BB4">
        <w:rPr>
          <w:lang w:val="en-GB"/>
        </w:rPr>
        <w:t xml:space="preserve"> </w:t>
      </w:r>
      <w:proofErr w:type="spellStart"/>
      <w:r w:rsidRPr="00CB0BB4">
        <w:rPr>
          <w:lang w:val="en-GB"/>
        </w:rPr>
        <w:t>av</w:t>
      </w:r>
      <w:proofErr w:type="spellEnd"/>
      <w:r w:rsidRPr="00CB0BB4">
        <w:rPr>
          <w:lang w:val="en-GB"/>
        </w:rPr>
        <w:t xml:space="preserve"> </w:t>
      </w:r>
      <w:proofErr w:type="spellStart"/>
      <w:r w:rsidRPr="00CB0BB4">
        <w:rPr>
          <w:lang w:val="en-GB"/>
        </w:rPr>
        <w:t>inngrep</w:t>
      </w:r>
      <w:proofErr w:type="spellEnd"/>
      <w:r w:rsidR="002F26A2" w:rsidRPr="00CB0BB4">
        <w:rPr>
          <w:lang w:val="en-GB"/>
        </w:rPr>
        <w:t xml:space="preserve"> </w:t>
      </w:r>
      <w:r w:rsidR="001C3F36" w:rsidRPr="00CB0BB4">
        <w:rPr>
          <w:lang w:val="en-GB"/>
        </w:rPr>
        <w:t xml:space="preserve">trekker </w:t>
      </w:r>
      <w:proofErr w:type="spellStart"/>
      <w:r w:rsidR="001C3F36" w:rsidRPr="00CB0BB4">
        <w:rPr>
          <w:lang w:val="en-GB"/>
        </w:rPr>
        <w:t>domstolen</w:t>
      </w:r>
      <w:proofErr w:type="spellEnd"/>
      <w:r w:rsidR="001C3F36" w:rsidRPr="00CB0BB4">
        <w:rPr>
          <w:lang w:val="en-GB"/>
        </w:rPr>
        <w:t xml:space="preserve"> </w:t>
      </w:r>
      <w:proofErr w:type="spellStart"/>
      <w:r w:rsidR="001C3F36" w:rsidRPr="00CB0BB4">
        <w:rPr>
          <w:lang w:val="en-GB"/>
        </w:rPr>
        <w:t>frem</w:t>
      </w:r>
      <w:proofErr w:type="spellEnd"/>
      <w:r w:rsidR="001C3F36" w:rsidRPr="00CB0BB4">
        <w:rPr>
          <w:lang w:val="en-GB"/>
        </w:rPr>
        <w:t xml:space="preserve"> </w:t>
      </w:r>
      <w:proofErr w:type="spellStart"/>
      <w:r w:rsidR="001C3F36" w:rsidRPr="00CB0BB4">
        <w:rPr>
          <w:lang w:val="en-GB"/>
        </w:rPr>
        <w:t>nødvendigheten</w:t>
      </w:r>
      <w:proofErr w:type="spellEnd"/>
      <w:r w:rsidR="001C3F36" w:rsidRPr="00CB0BB4">
        <w:rPr>
          <w:lang w:val="en-GB"/>
        </w:rPr>
        <w:t xml:space="preserve"> </w:t>
      </w:r>
      <w:proofErr w:type="spellStart"/>
      <w:r w:rsidR="001C3F36" w:rsidRPr="00CB0BB4">
        <w:rPr>
          <w:lang w:val="en-GB"/>
        </w:rPr>
        <w:t>av</w:t>
      </w:r>
      <w:proofErr w:type="spellEnd"/>
      <w:r w:rsidR="001C3F36" w:rsidRPr="00CB0BB4">
        <w:rPr>
          <w:lang w:val="en-GB"/>
        </w:rPr>
        <w:t xml:space="preserve"> å </w:t>
      </w:r>
      <w:proofErr w:type="spellStart"/>
      <w:r w:rsidR="009023AF" w:rsidRPr="00CB0BB4">
        <w:rPr>
          <w:lang w:val="en-GB"/>
        </w:rPr>
        <w:t>etablere</w:t>
      </w:r>
      <w:proofErr w:type="spellEnd"/>
      <w:r w:rsidR="009023AF" w:rsidRPr="00CB0BB4">
        <w:rPr>
          <w:lang w:val="en-GB"/>
        </w:rPr>
        <w:t xml:space="preserve"> </w:t>
      </w:r>
      <w:proofErr w:type="gramStart"/>
      <w:r w:rsidR="009023AF" w:rsidRPr="00CB0BB4">
        <w:rPr>
          <w:lang w:val="en-GB"/>
        </w:rPr>
        <w:t>«[</w:t>
      </w:r>
      <w:proofErr w:type="gramEnd"/>
      <w:r w:rsidR="009023AF" w:rsidRPr="00CB0BB4">
        <w:rPr>
          <w:lang w:val="en-GB"/>
        </w:rPr>
        <w:t>…]</w:t>
      </w:r>
      <w:r w:rsidR="00661D46" w:rsidRPr="00CB0BB4">
        <w:rPr>
          <w:lang w:val="en-GB"/>
        </w:rPr>
        <w:t>an independent and impartial judicial institution in charge of reviewing government applications for communications surveillance warrants so that the people’s freedom of secrecy of correspondence can be protected.</w:t>
      </w:r>
      <w:r w:rsidR="00EE32B6" w:rsidRPr="00CB0BB4">
        <w:rPr>
          <w:lang w:val="en-GB"/>
        </w:rPr>
        <w:t xml:space="preserve">». </w:t>
      </w:r>
    </w:p>
    <w:p w14:paraId="73782DEB" w14:textId="039279E4" w:rsidR="00A33513" w:rsidRDefault="001A692E" w:rsidP="00DC2381">
      <w:proofErr w:type="spellStart"/>
      <w:r w:rsidRPr="00CB0BB4">
        <w:rPr>
          <w:lang w:val="en-GB"/>
        </w:rPr>
        <w:t>Avslutningsvis</w:t>
      </w:r>
      <w:proofErr w:type="spellEnd"/>
      <w:r w:rsidRPr="00CB0BB4">
        <w:rPr>
          <w:lang w:val="en-GB"/>
        </w:rPr>
        <w:t xml:space="preserve"> legger </w:t>
      </w:r>
      <w:proofErr w:type="spellStart"/>
      <w:r w:rsidRPr="00CB0BB4">
        <w:rPr>
          <w:lang w:val="en-GB"/>
        </w:rPr>
        <w:t>domstolen</w:t>
      </w:r>
      <w:proofErr w:type="spellEnd"/>
      <w:r w:rsidRPr="00CB0BB4">
        <w:rPr>
          <w:lang w:val="en-GB"/>
        </w:rPr>
        <w:t xml:space="preserve"> </w:t>
      </w:r>
      <w:proofErr w:type="spellStart"/>
      <w:r w:rsidRPr="00CB0BB4">
        <w:rPr>
          <w:lang w:val="en-GB"/>
        </w:rPr>
        <w:t>til</w:t>
      </w:r>
      <w:proofErr w:type="spellEnd"/>
      <w:r w:rsidRPr="00CB0BB4">
        <w:rPr>
          <w:lang w:val="en-GB"/>
        </w:rPr>
        <w:t xml:space="preserve"> </w:t>
      </w:r>
      <w:proofErr w:type="spellStart"/>
      <w:r w:rsidRPr="00CB0BB4">
        <w:rPr>
          <w:lang w:val="en-GB"/>
        </w:rPr>
        <w:t>grunn</w:t>
      </w:r>
      <w:proofErr w:type="spellEnd"/>
      <w:r w:rsidRPr="00CB0BB4">
        <w:rPr>
          <w:lang w:val="en-GB"/>
        </w:rPr>
        <w:t xml:space="preserve"> at </w:t>
      </w:r>
      <w:proofErr w:type="spellStart"/>
      <w:r w:rsidRPr="00CB0BB4">
        <w:rPr>
          <w:lang w:val="en-GB"/>
        </w:rPr>
        <w:t>artikkel</w:t>
      </w:r>
      <w:proofErr w:type="spellEnd"/>
      <w:r w:rsidRPr="00CB0BB4">
        <w:rPr>
          <w:lang w:val="en-GB"/>
        </w:rPr>
        <w:t xml:space="preserve"> 5 </w:t>
      </w:r>
      <w:proofErr w:type="spellStart"/>
      <w:r w:rsidRPr="00CB0BB4">
        <w:rPr>
          <w:lang w:val="en-GB"/>
        </w:rPr>
        <w:t>paragraf</w:t>
      </w:r>
      <w:proofErr w:type="spellEnd"/>
      <w:r w:rsidRPr="00CB0BB4">
        <w:rPr>
          <w:lang w:val="en-GB"/>
        </w:rPr>
        <w:t xml:space="preserve"> 2 i CSSA</w:t>
      </w:r>
      <w:r w:rsidR="000A5528" w:rsidRPr="00CB0BB4">
        <w:rPr>
          <w:lang w:val="en-GB"/>
        </w:rPr>
        <w:t>,</w:t>
      </w:r>
      <w:r w:rsidRPr="00CB0BB4">
        <w:rPr>
          <w:lang w:val="en-GB"/>
        </w:rPr>
        <w:t xml:space="preserve"> </w:t>
      </w:r>
      <w:proofErr w:type="spellStart"/>
      <w:r w:rsidRPr="00CB0BB4">
        <w:rPr>
          <w:lang w:val="en-GB"/>
        </w:rPr>
        <w:t>på</w:t>
      </w:r>
      <w:proofErr w:type="spellEnd"/>
      <w:r w:rsidRPr="00CB0BB4">
        <w:rPr>
          <w:lang w:val="en-GB"/>
        </w:rPr>
        <w:t xml:space="preserve"> </w:t>
      </w:r>
      <w:proofErr w:type="spellStart"/>
      <w:r w:rsidRPr="00CB0BB4">
        <w:rPr>
          <w:lang w:val="en-GB"/>
        </w:rPr>
        <w:t>daværende</w:t>
      </w:r>
      <w:proofErr w:type="spellEnd"/>
      <w:r w:rsidRPr="00CB0BB4">
        <w:rPr>
          <w:lang w:val="en-GB"/>
        </w:rPr>
        <w:t xml:space="preserve"> </w:t>
      </w:r>
      <w:proofErr w:type="spellStart"/>
      <w:r w:rsidRPr="00CB0BB4">
        <w:rPr>
          <w:lang w:val="en-GB"/>
        </w:rPr>
        <w:t>tidspunkt</w:t>
      </w:r>
      <w:proofErr w:type="spellEnd"/>
      <w:r w:rsidRPr="00CB0BB4">
        <w:rPr>
          <w:lang w:val="en-GB"/>
        </w:rPr>
        <w:t xml:space="preserve"> (2007)</w:t>
      </w:r>
      <w:r w:rsidR="000A5528" w:rsidRPr="00CB0BB4">
        <w:rPr>
          <w:lang w:val="en-GB"/>
        </w:rPr>
        <w:t>,</w:t>
      </w:r>
      <w:r w:rsidRPr="00CB0BB4">
        <w:rPr>
          <w:lang w:val="en-GB"/>
        </w:rPr>
        <w:t xml:space="preserve"> er i strid med </w:t>
      </w:r>
      <w:proofErr w:type="spellStart"/>
      <w:r w:rsidRPr="00CB0BB4">
        <w:rPr>
          <w:lang w:val="en-GB"/>
        </w:rPr>
        <w:t>retten</w:t>
      </w:r>
      <w:proofErr w:type="spellEnd"/>
      <w:r w:rsidR="00E4439F" w:rsidRPr="00CB0BB4">
        <w:rPr>
          <w:lang w:val="en-GB"/>
        </w:rPr>
        <w:t xml:space="preserve"> </w:t>
      </w:r>
      <w:proofErr w:type="spellStart"/>
      <w:r w:rsidR="00E4439F" w:rsidRPr="00CB0BB4">
        <w:rPr>
          <w:lang w:val="en-GB"/>
        </w:rPr>
        <w:t>til</w:t>
      </w:r>
      <w:proofErr w:type="spellEnd"/>
      <w:r w:rsidRPr="00CB0BB4">
        <w:rPr>
          <w:lang w:val="en-GB"/>
        </w:rPr>
        <w:t xml:space="preserve"> «secrecy of </w:t>
      </w:r>
      <w:r w:rsidR="000A5528" w:rsidRPr="00CB0BB4">
        <w:rPr>
          <w:lang w:val="en-GB"/>
        </w:rPr>
        <w:t xml:space="preserve">correspondence». </w:t>
      </w:r>
      <w:r w:rsidR="00A34ED9">
        <w:t xml:space="preserve">Artikkel 5 paragraf 2 </w:t>
      </w:r>
      <w:r w:rsidR="005B44D2">
        <w:t>ble</w:t>
      </w:r>
      <w:r w:rsidR="00A34ED9">
        <w:t xml:space="preserve"> med dette ugyldiggjort</w:t>
      </w:r>
      <w:r w:rsidR="005F5337">
        <w:t xml:space="preserve">. </w:t>
      </w:r>
    </w:p>
    <w:p w14:paraId="44C80F5E" w14:textId="2172EAE9" w:rsidR="003C03E8" w:rsidRDefault="00314BE4" w:rsidP="00661F0D">
      <w:r>
        <w:t xml:space="preserve">Siden 2007 er </w:t>
      </w:r>
      <w:r w:rsidR="00BD56E5">
        <w:t>det gjennomført flere lovendringer av a</w:t>
      </w:r>
      <w:r w:rsidR="00345923">
        <w:t>rtikkel 5 paragraf 2</w:t>
      </w:r>
      <w:r>
        <w:t xml:space="preserve">. </w:t>
      </w:r>
      <w:proofErr w:type="spellStart"/>
      <w:r w:rsidRPr="00CB0BB4">
        <w:rPr>
          <w:lang w:val="en-GB"/>
        </w:rPr>
        <w:t>Artikkelen</w:t>
      </w:r>
      <w:proofErr w:type="spellEnd"/>
      <w:r w:rsidR="00345923" w:rsidRPr="00CB0BB4">
        <w:rPr>
          <w:lang w:val="en-GB"/>
        </w:rPr>
        <w:t xml:space="preserve"> </w:t>
      </w:r>
      <w:proofErr w:type="spellStart"/>
      <w:r w:rsidR="00AE295F" w:rsidRPr="00CB0BB4">
        <w:rPr>
          <w:lang w:val="en-GB"/>
        </w:rPr>
        <w:t>inkluderer</w:t>
      </w:r>
      <w:proofErr w:type="spellEnd"/>
      <w:r w:rsidR="00AE295F" w:rsidRPr="00CB0BB4">
        <w:rPr>
          <w:lang w:val="en-GB"/>
        </w:rPr>
        <w:t xml:space="preserve"> </w:t>
      </w:r>
      <w:proofErr w:type="spellStart"/>
      <w:r w:rsidR="00AE295F" w:rsidRPr="00CB0BB4">
        <w:rPr>
          <w:lang w:val="en-GB"/>
        </w:rPr>
        <w:t>nå</w:t>
      </w:r>
      <w:proofErr w:type="spellEnd"/>
      <w:r w:rsidR="007F1B1F" w:rsidRPr="00CB0BB4">
        <w:rPr>
          <w:lang w:val="en-GB"/>
        </w:rPr>
        <w:t xml:space="preserve"> </w:t>
      </w:r>
      <w:proofErr w:type="spellStart"/>
      <w:r w:rsidR="007F1B1F" w:rsidRPr="00CB0BB4">
        <w:rPr>
          <w:lang w:val="en-GB"/>
        </w:rPr>
        <w:t>en</w:t>
      </w:r>
      <w:proofErr w:type="spellEnd"/>
      <w:r w:rsidR="007F1B1F" w:rsidRPr="00CB0BB4">
        <w:rPr>
          <w:lang w:val="en-GB"/>
        </w:rPr>
        <w:t xml:space="preserve"> </w:t>
      </w:r>
      <w:proofErr w:type="spellStart"/>
      <w:r w:rsidR="007F1B1F" w:rsidRPr="00CB0BB4">
        <w:rPr>
          <w:lang w:val="en-GB"/>
        </w:rPr>
        <w:t>formulering</w:t>
      </w:r>
      <w:proofErr w:type="spellEnd"/>
      <w:r w:rsidR="00E94DCF" w:rsidRPr="00CB0BB4">
        <w:rPr>
          <w:lang w:val="en-GB"/>
        </w:rPr>
        <w:t xml:space="preserve"> om at «</w:t>
      </w:r>
      <w:r w:rsidR="003C2FF4">
        <w:rPr>
          <w:lang w:val="en-GB"/>
        </w:rPr>
        <w:t>[t]</w:t>
      </w:r>
      <w:r w:rsidR="0056294B" w:rsidRPr="00CB0BB4">
        <w:rPr>
          <w:lang w:val="en-GB"/>
        </w:rPr>
        <w:t xml:space="preserve">he interception warrant </w:t>
      </w:r>
      <w:r w:rsidR="004F3E0F" w:rsidRPr="00CB0BB4">
        <w:rPr>
          <w:lang w:val="en-GB"/>
        </w:rPr>
        <w:t xml:space="preserve">[…] shall be applied for, </w:t>
      </w:r>
      <w:r w:rsidR="00E94DCF" w:rsidRPr="00CB0BB4">
        <w:rPr>
          <w:lang w:val="en-GB"/>
        </w:rPr>
        <w:t>during the investigation,</w:t>
      </w:r>
      <w:r w:rsidR="004F3E0F" w:rsidRPr="00CB0BB4">
        <w:rPr>
          <w:lang w:val="en-GB"/>
        </w:rPr>
        <w:t xml:space="preserve"> by</w:t>
      </w:r>
      <w:r w:rsidR="00E74A4B" w:rsidRPr="00CB0BB4">
        <w:rPr>
          <w:lang w:val="en-GB"/>
        </w:rPr>
        <w:t xml:space="preserve"> the prosecuto</w:t>
      </w:r>
      <w:r w:rsidR="004F3E0F" w:rsidRPr="00CB0BB4">
        <w:rPr>
          <w:lang w:val="en-GB"/>
        </w:rPr>
        <w:t>r upon rec</w:t>
      </w:r>
      <w:r w:rsidR="00AF05AC" w:rsidRPr="00CB0BB4">
        <w:rPr>
          <w:lang w:val="en-GB"/>
        </w:rPr>
        <w:t xml:space="preserve">eiving applications from judicial police </w:t>
      </w:r>
      <w:proofErr w:type="spellStart"/>
      <w:r w:rsidR="00AF05AC" w:rsidRPr="00CB0BB4">
        <w:rPr>
          <w:lang w:val="en-GB"/>
        </w:rPr>
        <w:t>authoritites</w:t>
      </w:r>
      <w:proofErr w:type="spellEnd"/>
      <w:r w:rsidR="00AF05AC" w:rsidRPr="00CB0BB4">
        <w:rPr>
          <w:lang w:val="en-GB"/>
        </w:rPr>
        <w:t>, or applied by the prosecutor ex officio to the</w:t>
      </w:r>
      <w:r w:rsidR="00AF05AC" w:rsidRPr="00CB0BB4">
        <w:rPr>
          <w:b/>
          <w:bCs/>
          <w:lang w:val="en-GB"/>
        </w:rPr>
        <w:t xml:space="preserve"> court </w:t>
      </w:r>
      <w:r w:rsidR="00AF05AC" w:rsidRPr="00CB0BB4">
        <w:rPr>
          <w:lang w:val="en-GB"/>
        </w:rPr>
        <w:t>concerned for issuance.»</w:t>
      </w:r>
      <w:r w:rsidR="00F66651" w:rsidRPr="00CB0BB4">
        <w:rPr>
          <w:lang w:val="en-GB"/>
        </w:rPr>
        <w:t>.</w:t>
      </w:r>
      <w:r w:rsidRPr="00CB0BB4">
        <w:rPr>
          <w:lang w:val="en-GB"/>
        </w:rPr>
        <w:t xml:space="preserve"> </w:t>
      </w:r>
      <w:r w:rsidR="001C2080">
        <w:t>Etter ordlyden kreves nå at</w:t>
      </w:r>
      <w:r w:rsidR="007F1B1F">
        <w:t xml:space="preserve"> </w:t>
      </w:r>
      <w:r w:rsidR="00214E54">
        <w:t xml:space="preserve">søknad om politiordre </w:t>
      </w:r>
      <w:r w:rsidR="001C2080">
        <w:t xml:space="preserve">for overvåkning skal </w:t>
      </w:r>
      <w:r w:rsidR="001E6522">
        <w:t>rutes via</w:t>
      </w:r>
      <w:r w:rsidR="002C13F3">
        <w:t xml:space="preserve"> og kontrolleres av</w:t>
      </w:r>
      <w:r w:rsidR="00214E54">
        <w:t xml:space="preserve"> </w:t>
      </w:r>
      <w:r w:rsidR="009F0D61">
        <w:t>«</w:t>
      </w:r>
      <w:proofErr w:type="spellStart"/>
      <w:r w:rsidR="009F0D61">
        <w:t>the</w:t>
      </w:r>
      <w:proofErr w:type="spellEnd"/>
      <w:r w:rsidR="009F0D61">
        <w:t xml:space="preserve"> </w:t>
      </w:r>
      <w:proofErr w:type="spellStart"/>
      <w:r w:rsidR="009F0D61">
        <w:t>court</w:t>
      </w:r>
      <w:proofErr w:type="spellEnd"/>
      <w:r w:rsidR="009F0D61">
        <w:t xml:space="preserve"> </w:t>
      </w:r>
      <w:proofErr w:type="spellStart"/>
      <w:r w:rsidR="009F0D61">
        <w:t>concerned</w:t>
      </w:r>
      <w:proofErr w:type="spellEnd"/>
      <w:r w:rsidR="009F0D61">
        <w:t xml:space="preserve"> for </w:t>
      </w:r>
      <w:proofErr w:type="spellStart"/>
      <w:r w:rsidR="009F0D61">
        <w:t>the</w:t>
      </w:r>
      <w:proofErr w:type="spellEnd"/>
      <w:r w:rsidR="009F0D61">
        <w:t xml:space="preserve"> </w:t>
      </w:r>
      <w:proofErr w:type="spellStart"/>
      <w:r w:rsidR="009F0D61">
        <w:t>issuance</w:t>
      </w:r>
      <w:proofErr w:type="spellEnd"/>
      <w:r w:rsidR="009F0D61">
        <w:t>».</w:t>
      </w:r>
    </w:p>
    <w:p w14:paraId="0283FE33" w14:textId="50DEC1E3" w:rsidR="00627367" w:rsidRDefault="0004167D" w:rsidP="00197C02">
      <w:r>
        <w:t>Dommen</w:t>
      </w:r>
      <w:r w:rsidR="00DC5B6E">
        <w:t xml:space="preserve"> indikerer at det gjennomføres løpende vurderinger av grunnlovsmessigheten av hjemmelsgrunnlag for overvåkning. </w:t>
      </w:r>
      <w:r w:rsidR="006F49A2">
        <w:t>Tolkningen</w:t>
      </w:r>
      <w:r w:rsidR="00012920">
        <w:t xml:space="preserve"> illustrerer at d</w:t>
      </w:r>
      <w:r w:rsidR="00DC5B6E">
        <w:t xml:space="preserve">omstolen vekter inngrepets art og karakter opp mot etablerte rettsstatlige prinsipper om domstolskontroll og forholdsmessighet. </w:t>
      </w:r>
      <w:r w:rsidR="00CF5302">
        <w:t>Tolkningen resulterer i</w:t>
      </w:r>
      <w:r w:rsidR="00DC5B6E">
        <w:t xml:space="preserve"> en lovendring som</w:t>
      </w:r>
      <w:r w:rsidR="00A12CF7">
        <w:t xml:space="preserve"> effektuerer</w:t>
      </w:r>
      <w:r w:rsidR="00DC5B6E">
        <w:t xml:space="preserve"> en form for legalitetsprinsipp</w:t>
      </w:r>
      <w:r w:rsidR="00384195">
        <w:t>; graden av</w:t>
      </w:r>
      <w:r w:rsidR="00DC5B6E">
        <w:t xml:space="preserve"> inngrep dikterer hvilke rettssikkerhetsmekanismer som implementeres. Lovverket fremstår også dynamisk </w:t>
      </w:r>
      <w:r w:rsidR="00221F1B">
        <w:t>ved at</w:t>
      </w:r>
      <w:r w:rsidR="00DC5B6E">
        <w:t xml:space="preserve"> konkrete bestemmelser kan bli gjenstand for endring basert på rettsstatlige prinsipper/hensyn eller individuelle rettigheter.</w:t>
      </w:r>
    </w:p>
    <w:p w14:paraId="34C014D4" w14:textId="77777777" w:rsidR="00627367" w:rsidRDefault="00627367" w:rsidP="00627367">
      <w:pPr>
        <w:pStyle w:val="Overskrift4"/>
        <w:numPr>
          <w:ilvl w:val="2"/>
          <w:numId w:val="6"/>
        </w:numPr>
      </w:pPr>
      <w:r>
        <w:t xml:space="preserve">Taiwan </w:t>
      </w:r>
      <w:proofErr w:type="spellStart"/>
      <w:r>
        <w:t>Internet</w:t>
      </w:r>
      <w:proofErr w:type="spellEnd"/>
      <w:r>
        <w:t xml:space="preserve"> </w:t>
      </w:r>
      <w:proofErr w:type="spellStart"/>
      <w:r>
        <w:t>Transparency</w:t>
      </w:r>
      <w:proofErr w:type="spellEnd"/>
      <w:r>
        <w:t xml:space="preserve"> Report</w:t>
      </w:r>
    </w:p>
    <w:p w14:paraId="0ADC5A27" w14:textId="64FF5400" w:rsidR="00EB097D" w:rsidRPr="00251A20" w:rsidRDefault="00627367" w:rsidP="00627367">
      <w:r>
        <w:t>Taiwan Association for Human Rights (</w:t>
      </w:r>
      <w:r w:rsidR="0004167D">
        <w:t>"</w:t>
      </w:r>
      <w:r w:rsidRPr="00063801">
        <w:rPr>
          <w:b/>
          <w:bCs/>
        </w:rPr>
        <w:t>TAHR</w:t>
      </w:r>
      <w:r w:rsidR="0004167D">
        <w:t>"</w:t>
      </w:r>
      <w:r>
        <w:t xml:space="preserve">) publiserte i 2015 en rapport kalt «Taiwan </w:t>
      </w:r>
      <w:proofErr w:type="spellStart"/>
      <w:r>
        <w:t>Internet</w:t>
      </w:r>
      <w:proofErr w:type="spellEnd"/>
      <w:r>
        <w:t xml:space="preserve"> </w:t>
      </w:r>
      <w:proofErr w:type="spellStart"/>
      <w:r>
        <w:t>Transparency</w:t>
      </w:r>
      <w:proofErr w:type="spellEnd"/>
      <w:r>
        <w:t xml:space="preserve"> Report» </w:t>
      </w:r>
      <w:r w:rsidR="000B56DF">
        <w:t xml:space="preserve">(heretter kalt </w:t>
      </w:r>
      <w:r w:rsidR="0004167D">
        <w:t>"</w:t>
      </w:r>
      <w:r w:rsidR="000B56DF" w:rsidRPr="00063801">
        <w:rPr>
          <w:b/>
          <w:bCs/>
        </w:rPr>
        <w:t>TITR</w:t>
      </w:r>
      <w:r w:rsidR="0004167D">
        <w:t>"</w:t>
      </w:r>
      <w:r w:rsidR="000B56DF">
        <w:t xml:space="preserve"> eller </w:t>
      </w:r>
      <w:r w:rsidR="0004167D">
        <w:t>"</w:t>
      </w:r>
      <w:r w:rsidR="000B56DF" w:rsidRPr="00063801">
        <w:rPr>
          <w:b/>
          <w:bCs/>
        </w:rPr>
        <w:t>rapporten</w:t>
      </w:r>
      <w:r w:rsidR="0004167D">
        <w:t>"</w:t>
      </w:r>
      <w:r>
        <w:t xml:space="preserve">). Formålet med rapporten var blant annet å synliggjøre graden av inngrep i retten til privatliv og personvern i Taiwan. Rapporten er resultatet av et forskningsprosjekt gjennomført av TAHR. Funnene er hentet fra perioden 2012 til 2014. </w:t>
      </w:r>
      <w:r w:rsidR="00135175">
        <w:t>Selv om rapporten er fra 2015</w:t>
      </w:r>
      <w:r w:rsidR="000916EB">
        <w:t>,</w:t>
      </w:r>
      <w:r w:rsidR="00135175">
        <w:t xml:space="preserve"> er det grunn til å tro at tallene</w:t>
      </w:r>
      <w:r w:rsidR="00DD69C5">
        <w:t xml:space="preserve"> </w:t>
      </w:r>
      <w:r w:rsidR="007537B9">
        <w:t xml:space="preserve">fremdeles </w:t>
      </w:r>
      <w:r w:rsidR="00DD69C5">
        <w:t>er</w:t>
      </w:r>
      <w:r w:rsidR="00D106F2">
        <w:t xml:space="preserve"> </w:t>
      </w:r>
      <w:r w:rsidR="00045358">
        <w:t>represent</w:t>
      </w:r>
      <w:r w:rsidR="002A1D86">
        <w:t>ative for</w:t>
      </w:r>
      <w:r w:rsidR="00045358">
        <w:t xml:space="preserve"> situasjonen i Taiwan</w:t>
      </w:r>
      <w:r w:rsidR="000916EB">
        <w:t>. Rapporten vurderes</w:t>
      </w:r>
      <w:r w:rsidR="007537B9">
        <w:t xml:space="preserve"> derfor</w:t>
      </w:r>
      <w:r w:rsidR="000916EB">
        <w:t xml:space="preserve"> til å være</w:t>
      </w:r>
      <w:r w:rsidR="00DD69C5">
        <w:t xml:space="preserve"> relevant </w:t>
      </w:r>
      <w:r w:rsidR="00D106F2">
        <w:t xml:space="preserve">for landvurderingen. </w:t>
      </w:r>
    </w:p>
    <w:p w14:paraId="3DAA5168" w14:textId="77777777" w:rsidR="00627367" w:rsidRPr="00063801" w:rsidRDefault="00627367" w:rsidP="00627367">
      <w:pPr>
        <w:rPr>
          <w:lang w:val="en-GB"/>
        </w:rPr>
      </w:pPr>
      <w:r>
        <w:t>I rapporten vises det til at taiwanske myndigheter - særlig etter 2010, har vesentlig styrket landets teknologiske overvåkningsevner.</w:t>
      </w:r>
      <w:r>
        <w:rPr>
          <w:rStyle w:val="Fotnotereferanse"/>
        </w:rPr>
        <w:footnoteReference w:id="32"/>
      </w:r>
      <w:r>
        <w:t xml:space="preserve"> Dette har medført en betydelig økning i avlyttingvirksomhet i Taiwan. TAHR rapporterer videre at etterlevelsen av rettsstatsprinsippene om skjellig grunn til mistanke, rettferdig prosess, og uavhengig og kontrollerende tilsynsorgan mangler. Rapporten etterlyser økt gjennomsiktighet slik at saker kan bli prøvd for åpne domstoler. </w:t>
      </w:r>
      <w:r w:rsidRPr="00063801">
        <w:rPr>
          <w:lang w:val="en-GB"/>
        </w:rPr>
        <w:t xml:space="preserve">I den </w:t>
      </w:r>
      <w:proofErr w:type="spellStart"/>
      <w:r w:rsidRPr="00063801">
        <w:rPr>
          <w:lang w:val="en-GB"/>
        </w:rPr>
        <w:t>forbindelse</w:t>
      </w:r>
      <w:proofErr w:type="spellEnd"/>
      <w:r w:rsidRPr="00063801">
        <w:rPr>
          <w:lang w:val="en-GB"/>
        </w:rPr>
        <w:t xml:space="preserve"> </w:t>
      </w:r>
      <w:proofErr w:type="spellStart"/>
      <w:r w:rsidRPr="00063801">
        <w:rPr>
          <w:lang w:val="en-GB"/>
        </w:rPr>
        <w:t>fremhever</w:t>
      </w:r>
      <w:proofErr w:type="spellEnd"/>
      <w:r w:rsidRPr="00063801">
        <w:rPr>
          <w:lang w:val="en-GB"/>
        </w:rPr>
        <w:t xml:space="preserve"> </w:t>
      </w:r>
      <w:proofErr w:type="spellStart"/>
      <w:r w:rsidRPr="00063801">
        <w:rPr>
          <w:lang w:val="en-GB"/>
        </w:rPr>
        <w:t>hovedforfatter</w:t>
      </w:r>
      <w:proofErr w:type="spellEnd"/>
      <w:r w:rsidRPr="00063801">
        <w:rPr>
          <w:lang w:val="en-GB"/>
        </w:rPr>
        <w:t xml:space="preserve"> </w:t>
      </w:r>
      <w:proofErr w:type="spellStart"/>
      <w:r w:rsidRPr="00063801">
        <w:rPr>
          <w:lang w:val="en-GB"/>
        </w:rPr>
        <w:t>av</w:t>
      </w:r>
      <w:proofErr w:type="spellEnd"/>
      <w:r w:rsidRPr="00063801">
        <w:rPr>
          <w:lang w:val="en-GB"/>
        </w:rPr>
        <w:t xml:space="preserve"> </w:t>
      </w:r>
      <w:proofErr w:type="spellStart"/>
      <w:r w:rsidRPr="00063801">
        <w:rPr>
          <w:lang w:val="en-GB"/>
        </w:rPr>
        <w:t>rapporten</w:t>
      </w:r>
      <w:proofErr w:type="spellEnd"/>
      <w:r w:rsidRPr="00063801">
        <w:rPr>
          <w:lang w:val="en-GB"/>
        </w:rPr>
        <w:t>, Ho Ming-</w:t>
      </w:r>
      <w:proofErr w:type="spellStart"/>
      <w:r w:rsidRPr="00063801">
        <w:rPr>
          <w:lang w:val="en-GB"/>
        </w:rPr>
        <w:t>syuan</w:t>
      </w:r>
      <w:proofErr w:type="spellEnd"/>
      <w:r w:rsidRPr="00063801">
        <w:rPr>
          <w:lang w:val="en-GB"/>
        </w:rPr>
        <w:t xml:space="preserve">, at </w:t>
      </w:r>
      <w:proofErr w:type="gramStart"/>
      <w:r w:rsidRPr="00063801">
        <w:rPr>
          <w:lang w:val="en-GB"/>
        </w:rPr>
        <w:t>«[</w:t>
      </w:r>
      <w:proofErr w:type="gramEnd"/>
      <w:r w:rsidRPr="00063801">
        <w:rPr>
          <w:lang w:val="en-GB"/>
        </w:rPr>
        <w:t xml:space="preserve">…]a great number of device users had not been informed about the surveillance demands and were left in the dark.», og legger </w:t>
      </w:r>
      <w:proofErr w:type="spellStart"/>
      <w:r w:rsidRPr="00063801">
        <w:rPr>
          <w:lang w:val="en-GB"/>
        </w:rPr>
        <w:t>videre</w:t>
      </w:r>
      <w:proofErr w:type="spellEnd"/>
      <w:r w:rsidRPr="00063801">
        <w:rPr>
          <w:lang w:val="en-GB"/>
        </w:rPr>
        <w:t xml:space="preserve"> </w:t>
      </w:r>
      <w:proofErr w:type="spellStart"/>
      <w:r w:rsidRPr="00063801">
        <w:rPr>
          <w:lang w:val="en-GB"/>
        </w:rPr>
        <w:t>til</w:t>
      </w:r>
      <w:proofErr w:type="spellEnd"/>
      <w:r w:rsidRPr="00063801">
        <w:rPr>
          <w:lang w:val="en-GB"/>
        </w:rPr>
        <w:t xml:space="preserve"> at </w:t>
      </w:r>
      <w:r w:rsidRPr="00063801">
        <w:rPr>
          <w:lang w:val="en-GB"/>
        </w:rPr>
        <w:lastRenderedPageBreak/>
        <w:t xml:space="preserve">«[…]most authorities simply skipped the legal procedures by writing to the operators, asking for information they wanted.». </w:t>
      </w:r>
      <w:r>
        <w:rPr>
          <w:rStyle w:val="Fotnotereferanse"/>
        </w:rPr>
        <w:footnoteReference w:id="33"/>
      </w:r>
      <w:r w:rsidRPr="00063801">
        <w:rPr>
          <w:lang w:val="en-GB"/>
        </w:rPr>
        <w:t xml:space="preserve"> </w:t>
      </w:r>
    </w:p>
    <w:p w14:paraId="4A01D2E1" w14:textId="77777777" w:rsidR="00627367" w:rsidRDefault="00627367" w:rsidP="00627367">
      <w:r>
        <w:t xml:space="preserve">Rapporten fremlegger statistikk på begjæringer/forespørsler om utlevering av- eller innsyn i data sendt fra ulike statlige organer. Statistikken synliggjør hvilke konkrete lover og bestemmelser som begjæringene var hjemlet i. Her kommer det frem at en stor andel begjæringer er hjemlet i CSSA. Dette gjelder også på tvers av myndighetsområder (se </w:t>
      </w:r>
      <w:proofErr w:type="spellStart"/>
      <w:r>
        <w:t>Coast</w:t>
      </w:r>
      <w:proofErr w:type="spellEnd"/>
      <w:r>
        <w:t xml:space="preserve"> </w:t>
      </w:r>
      <w:proofErr w:type="spellStart"/>
      <w:r>
        <w:t>Guard</w:t>
      </w:r>
      <w:proofErr w:type="spellEnd"/>
      <w:r>
        <w:t xml:space="preserve"> Administration og National Police </w:t>
      </w:r>
      <w:proofErr w:type="spellStart"/>
      <w:r>
        <w:t>Agency</w:t>
      </w:r>
      <w:proofErr w:type="spellEnd"/>
      <w:r>
        <w:t xml:space="preserve">). </w:t>
      </w:r>
      <w:r>
        <w:rPr>
          <w:rStyle w:val="Fotnotereferanse"/>
        </w:rPr>
        <w:footnoteReference w:id="34"/>
      </w:r>
    </w:p>
    <w:p w14:paraId="4303E23F" w14:textId="7D4B3B5F" w:rsidR="00627367" w:rsidRDefault="00627367" w:rsidP="00627367">
      <w:r>
        <w:t>Rapporten kategoriserer også forespørsler om overvåkning på bakgrunn av formål. Under «</w:t>
      </w:r>
      <w:proofErr w:type="spellStart"/>
      <w:r>
        <w:t>Overview</w:t>
      </w:r>
      <w:proofErr w:type="spellEnd"/>
      <w:r>
        <w:t xml:space="preserve"> </w:t>
      </w:r>
      <w:proofErr w:type="spellStart"/>
      <w:r>
        <w:t>on</w:t>
      </w:r>
      <w:proofErr w:type="spellEnd"/>
      <w:r>
        <w:t xml:space="preserve"> </w:t>
      </w:r>
      <w:proofErr w:type="spellStart"/>
      <w:r>
        <w:t>reasons</w:t>
      </w:r>
      <w:proofErr w:type="spellEnd"/>
      <w:r>
        <w:t xml:space="preserve"> for </w:t>
      </w:r>
      <w:proofErr w:type="spellStart"/>
      <w:r>
        <w:t>internet</w:t>
      </w:r>
      <w:proofErr w:type="spellEnd"/>
      <w:r>
        <w:t xml:space="preserve"> personal data </w:t>
      </w:r>
      <w:proofErr w:type="spellStart"/>
      <w:r>
        <w:t>requests</w:t>
      </w:r>
      <w:proofErr w:type="spellEnd"/>
      <w:r>
        <w:t xml:space="preserve"> in 2012-2014», rapporteres det at i perioden 2012 til 2014 var 3765 av 4908 (76</w:t>
      </w:r>
      <w:r w:rsidR="001B757B">
        <w:t xml:space="preserve"> </w:t>
      </w:r>
      <w:r>
        <w:t xml:space="preserve">%) forespørsler begrunnet i kriminaletterforskning. Tallene baserer seg på tilbakemeldinger fra kun </w:t>
      </w:r>
      <w:r w:rsidR="001B757B">
        <w:t>syv</w:t>
      </w:r>
      <w:r>
        <w:t xml:space="preserve"> av totalt 14 organer som ble forespurt deling av statistikk. Antallet totale forespørsler (4908) som er rapportert reflekterer derfor trolig ikke det fullstendige bilde av overvåkningsvirksomheten i Taiwan mellom 2012 og 2014. </w:t>
      </w:r>
    </w:p>
    <w:p w14:paraId="070B62EE" w14:textId="77777777" w:rsidR="00627367" w:rsidRDefault="00627367" w:rsidP="00627367">
      <w:r>
        <w:t>Som nevnt i punkt 4.3.1.3 følger det videre av artikkel 16-1 i CSSA at</w:t>
      </w:r>
      <w:r w:rsidRPr="00EE32B6">
        <w:t xml:space="preserve"> «</w:t>
      </w:r>
      <w:proofErr w:type="spellStart"/>
      <w:r w:rsidRPr="00EE32B6">
        <w:t>enforcement</w:t>
      </w:r>
      <w:proofErr w:type="spellEnd"/>
      <w:r w:rsidRPr="00EE32B6">
        <w:t xml:space="preserve"> </w:t>
      </w:r>
      <w:proofErr w:type="spellStart"/>
      <w:r w:rsidRPr="00EE32B6">
        <w:t>authority</w:t>
      </w:r>
      <w:proofErr w:type="spellEnd"/>
      <w:r w:rsidRPr="00EE32B6">
        <w:t>» og «</w:t>
      </w:r>
      <w:proofErr w:type="spellStart"/>
      <w:r w:rsidRPr="00EE32B6">
        <w:t>supervisory</w:t>
      </w:r>
      <w:proofErr w:type="spellEnd"/>
      <w:r w:rsidRPr="00EE32B6">
        <w:t xml:space="preserve"> </w:t>
      </w:r>
      <w:proofErr w:type="spellStart"/>
      <w:r w:rsidRPr="00EE32B6">
        <w:t>authority</w:t>
      </w:r>
      <w:proofErr w:type="spellEnd"/>
      <w:r w:rsidRPr="00EE32B6">
        <w:t xml:space="preserve">» </w:t>
      </w:r>
      <w:r>
        <w:t xml:space="preserve">skal </w:t>
      </w:r>
      <w:r w:rsidRPr="00EE32B6">
        <w:t xml:space="preserve">forberede en årlig rapport med relevant statistikk om det foregående årets overvåkningsaktivitet. </w:t>
      </w:r>
      <w:r>
        <w:t xml:space="preserve">I 2015 begjærte TITR-prosjektet innsyn i denne rapporten og «Department </w:t>
      </w:r>
      <w:proofErr w:type="spellStart"/>
      <w:r>
        <w:t>of</w:t>
      </w:r>
      <w:proofErr w:type="spellEnd"/>
      <w:r>
        <w:t xml:space="preserve"> </w:t>
      </w:r>
      <w:proofErr w:type="spellStart"/>
      <w:r>
        <w:t>Satistics</w:t>
      </w:r>
      <w:proofErr w:type="spellEnd"/>
      <w:r>
        <w:t xml:space="preserve"> </w:t>
      </w:r>
      <w:proofErr w:type="spellStart"/>
      <w:r>
        <w:t>of</w:t>
      </w:r>
      <w:proofErr w:type="spellEnd"/>
      <w:r>
        <w:t xml:space="preserve"> </w:t>
      </w:r>
      <w:proofErr w:type="spellStart"/>
      <w:r>
        <w:t>the</w:t>
      </w:r>
      <w:proofErr w:type="spellEnd"/>
      <w:r>
        <w:t xml:space="preserve"> </w:t>
      </w:r>
      <w:proofErr w:type="spellStart"/>
      <w:r>
        <w:t>Judicial</w:t>
      </w:r>
      <w:proofErr w:type="spellEnd"/>
      <w:r>
        <w:t xml:space="preserve"> Yuan» innvilget innsyn og tilgjengeliggjorde statistikk fra andre halvdel av 2014. Statistikken var inndelt i åtte kategorier (linjer) kommunikasjonsovervåkning; </w:t>
      </w:r>
    </w:p>
    <w:p w14:paraId="5ADF0858" w14:textId="77777777" w:rsidR="00627367" w:rsidRDefault="00627367" w:rsidP="00627367">
      <w:pPr>
        <w:pStyle w:val="Listeavsnitt"/>
        <w:numPr>
          <w:ilvl w:val="0"/>
          <w:numId w:val="32"/>
        </w:numPr>
      </w:pPr>
      <w:r>
        <w:t xml:space="preserve">Lokal telefon- og mobilovervåkning, </w:t>
      </w:r>
    </w:p>
    <w:p w14:paraId="69725C9E" w14:textId="77777777" w:rsidR="00627367" w:rsidRPr="009F7B04" w:rsidRDefault="00627367" w:rsidP="00627367">
      <w:pPr>
        <w:pStyle w:val="Listeavsnitt"/>
        <w:numPr>
          <w:ilvl w:val="0"/>
          <w:numId w:val="32"/>
        </w:numPr>
        <w:rPr>
          <w:lang w:val="en-GB"/>
        </w:rPr>
      </w:pPr>
      <w:r w:rsidRPr="009F7B04">
        <w:rPr>
          <w:lang w:val="en-GB"/>
        </w:rPr>
        <w:t>IMEI («International Mobile Equipment Identity»),</w:t>
      </w:r>
    </w:p>
    <w:p w14:paraId="4E3DFE5E" w14:textId="77777777" w:rsidR="00627367" w:rsidRDefault="00627367" w:rsidP="00627367">
      <w:pPr>
        <w:pStyle w:val="Listeavsnitt"/>
        <w:numPr>
          <w:ilvl w:val="0"/>
          <w:numId w:val="32"/>
        </w:numPr>
      </w:pPr>
      <w:r>
        <w:t xml:space="preserve">IMSI («International Mobile </w:t>
      </w:r>
      <w:proofErr w:type="spellStart"/>
      <w:r>
        <w:t>Subcscriber</w:t>
      </w:r>
      <w:proofErr w:type="spellEnd"/>
      <w:r>
        <w:t xml:space="preserve"> Identity»),</w:t>
      </w:r>
    </w:p>
    <w:p w14:paraId="3B542FB2" w14:textId="77777777" w:rsidR="00627367" w:rsidRDefault="00627367" w:rsidP="00627367">
      <w:pPr>
        <w:pStyle w:val="Listeavsnitt"/>
        <w:numPr>
          <w:ilvl w:val="0"/>
          <w:numId w:val="32"/>
        </w:numPr>
      </w:pPr>
      <w:proofErr w:type="spellStart"/>
      <w:r>
        <w:t>HiNet</w:t>
      </w:r>
      <w:proofErr w:type="spellEnd"/>
      <w:r>
        <w:t xml:space="preserve"> ADSL-kontoer,</w:t>
      </w:r>
    </w:p>
    <w:p w14:paraId="27B68772" w14:textId="77777777" w:rsidR="00627367" w:rsidRDefault="00627367" w:rsidP="00627367">
      <w:pPr>
        <w:pStyle w:val="Listeavsnitt"/>
        <w:numPr>
          <w:ilvl w:val="0"/>
          <w:numId w:val="32"/>
        </w:numPr>
      </w:pPr>
      <w:r>
        <w:t xml:space="preserve">Internettelefonkonto (f.eks. Skype), </w:t>
      </w:r>
    </w:p>
    <w:p w14:paraId="2076FAB4" w14:textId="77777777" w:rsidR="00627367" w:rsidRDefault="00627367" w:rsidP="00627367">
      <w:pPr>
        <w:pStyle w:val="Listeavsnitt"/>
        <w:numPr>
          <w:ilvl w:val="0"/>
          <w:numId w:val="32"/>
        </w:numPr>
      </w:pPr>
      <w:r>
        <w:t>Epostadresser,</w:t>
      </w:r>
    </w:p>
    <w:p w14:paraId="0F7CA083" w14:textId="77777777" w:rsidR="00627367" w:rsidRDefault="00627367" w:rsidP="00627367">
      <w:pPr>
        <w:pStyle w:val="Listeavsnitt"/>
        <w:numPr>
          <w:ilvl w:val="0"/>
          <w:numId w:val="32"/>
        </w:numPr>
      </w:pPr>
      <w:r>
        <w:t>IP-adresser,</w:t>
      </w:r>
    </w:p>
    <w:p w14:paraId="3B268241" w14:textId="77777777" w:rsidR="00627367" w:rsidRDefault="00627367" w:rsidP="00627367">
      <w:pPr>
        <w:pStyle w:val="Listeavsnitt"/>
        <w:numPr>
          <w:ilvl w:val="0"/>
          <w:numId w:val="32"/>
        </w:numPr>
      </w:pPr>
      <w:r>
        <w:t>Annet,</w:t>
      </w:r>
    </w:p>
    <w:p w14:paraId="4F5FC816" w14:textId="5E04EAA5" w:rsidR="00627367" w:rsidRDefault="00627367" w:rsidP="00627367">
      <w:r>
        <w:t xml:space="preserve">I løpet av andre halvdel av 2014 ble det oversendt 14292 forespørsler om kommunikasjonsovervåkning på tvers av 21125 linjer. Av </w:t>
      </w:r>
      <w:r w:rsidR="0046381C">
        <w:t xml:space="preserve">totalt </w:t>
      </w:r>
      <w:r>
        <w:t xml:space="preserve">14292 forespørsler gjaldt 89,31% (12841) av </w:t>
      </w:r>
      <w:r w:rsidR="00765268">
        <w:t>disse</w:t>
      </w:r>
      <w:r>
        <w:t xml:space="preserve"> overvåkning av lokalt telefon- og mobilnettverk.</w:t>
      </w:r>
      <w:r>
        <w:rPr>
          <w:rStyle w:val="Fotnotereferanse"/>
        </w:rPr>
        <w:footnoteReference w:id="35"/>
      </w:r>
      <w:r>
        <w:t xml:space="preserve"> </w:t>
      </w:r>
    </w:p>
    <w:p w14:paraId="288BD0FB" w14:textId="7DC5E92F" w:rsidR="00627367" w:rsidRDefault="001B757B" w:rsidP="00627367">
      <w:r>
        <w:t>S</w:t>
      </w:r>
      <w:r w:rsidR="00627367">
        <w:t xml:space="preserve">tatistikken er mangelfull på flere områder. Ifølge rapporten regnes det med betydelige mørketall. Når statistikk fra </w:t>
      </w:r>
      <w:proofErr w:type="spellStart"/>
      <w:r w:rsidR="00627367">
        <w:t>Judicial</w:t>
      </w:r>
      <w:proofErr w:type="spellEnd"/>
      <w:r w:rsidR="00627367">
        <w:t xml:space="preserve"> Yuan sammenlignes med statistikk tilgjengeliggjort eller </w:t>
      </w:r>
      <w:r w:rsidR="000E7D2B">
        <w:t>oversendt</w:t>
      </w:r>
      <w:r w:rsidR="00627367">
        <w:t xml:space="preserve"> fra organisasjoner som har mottatt forespørsler om innsyn eller utlevering av data, avdekkes vesentlige uoverensstemmelser. Rapporten belyser flere forhold og omstendigheter som kan være utslagsgivende i denne sammenheng; </w:t>
      </w:r>
    </w:p>
    <w:p w14:paraId="16DCF09F" w14:textId="77777777" w:rsidR="00627367" w:rsidRDefault="00627367" w:rsidP="00627367">
      <w:pPr>
        <w:pStyle w:val="Listeavsnitt"/>
        <w:numPr>
          <w:ilvl w:val="0"/>
          <w:numId w:val="33"/>
        </w:numPr>
      </w:pPr>
      <w:r>
        <w:rPr>
          <w:b/>
          <w:bCs/>
        </w:rPr>
        <w:t>Mangel på konkrete tall:</w:t>
      </w:r>
      <w:r>
        <w:t xml:space="preserve"> Av 14 myndighetsorgan i Taiwan som ble forespurt deling av informasjon var det bare 7 som svarte. </w:t>
      </w:r>
    </w:p>
    <w:p w14:paraId="3507C985" w14:textId="560AB265" w:rsidR="00627367" w:rsidRDefault="00627367" w:rsidP="00627367">
      <w:pPr>
        <w:pStyle w:val="Listeavsnitt"/>
        <w:numPr>
          <w:ilvl w:val="0"/>
          <w:numId w:val="33"/>
        </w:numPr>
      </w:pPr>
      <w:r>
        <w:rPr>
          <w:b/>
          <w:bCs/>
        </w:rPr>
        <w:t xml:space="preserve">Manglende retningslinjer og prosedyrer: </w:t>
      </w:r>
      <w:r>
        <w:t>Ifølge rapporten var det bare «</w:t>
      </w:r>
      <w:proofErr w:type="spellStart"/>
      <w:r>
        <w:t>Criminal</w:t>
      </w:r>
      <w:proofErr w:type="spellEnd"/>
      <w:r>
        <w:t xml:space="preserve"> </w:t>
      </w:r>
      <w:proofErr w:type="spellStart"/>
      <w:r>
        <w:t>Investigation</w:t>
      </w:r>
      <w:proofErr w:type="spellEnd"/>
      <w:r>
        <w:t xml:space="preserve"> </w:t>
      </w:r>
      <w:proofErr w:type="spellStart"/>
      <w:r>
        <w:t>Bure</w:t>
      </w:r>
      <w:r w:rsidR="00BC1C0B">
        <w:t>au</w:t>
      </w:r>
      <w:proofErr w:type="spellEnd"/>
      <w:r>
        <w:t>» som kunne bekrefte at de</w:t>
      </w:r>
      <w:r w:rsidR="00372CAE">
        <w:t>t var etablert</w:t>
      </w:r>
      <w:r>
        <w:t xml:space="preserve"> prosedyrer for å systematisere </w:t>
      </w:r>
      <w:r>
        <w:lastRenderedPageBreak/>
        <w:t xml:space="preserve">tall på egen virksomhet. </w:t>
      </w:r>
      <w:r w:rsidR="00B916EB">
        <w:t>Det kan dermed sluttes at mangel på</w:t>
      </w:r>
      <w:r>
        <w:t xml:space="preserve"> klare retningslinjer og prosedyrer for føring av statistikk ved de enkelte myndighetsorganene</w:t>
      </w:r>
      <w:r w:rsidR="00B916EB">
        <w:t xml:space="preserve"> er</w:t>
      </w:r>
      <w:r>
        <w:t xml:space="preserve"> en gjentakende utfordring.</w:t>
      </w:r>
      <w:r>
        <w:rPr>
          <w:rStyle w:val="Fotnotereferanse"/>
        </w:rPr>
        <w:footnoteReference w:id="36"/>
      </w:r>
    </w:p>
    <w:p w14:paraId="06CAD148" w14:textId="736ABBBB" w:rsidR="00627367" w:rsidRDefault="00627367" w:rsidP="00627367">
      <w:pPr>
        <w:pStyle w:val="Listeavsnitt"/>
        <w:numPr>
          <w:ilvl w:val="0"/>
          <w:numId w:val="33"/>
        </w:numPr>
      </w:pPr>
      <w:r w:rsidRPr="00A517B2">
        <w:rPr>
          <w:b/>
          <w:bCs/>
        </w:rPr>
        <w:t>Manglende samarbeidsvillighet</w:t>
      </w:r>
      <w:r>
        <w:rPr>
          <w:b/>
          <w:bCs/>
        </w:rPr>
        <w:t>:</w:t>
      </w:r>
      <w:r>
        <w:t xml:space="preserve"> Flere organer unnlot å svare eller motsatte seg forespørsel fra TAHR om deling av statistikk</w:t>
      </w:r>
      <w:r w:rsidR="001B757B">
        <w:t>.</w:t>
      </w:r>
      <w:r>
        <w:rPr>
          <w:rStyle w:val="Fotnotereferanse"/>
        </w:rPr>
        <w:footnoteReference w:id="37"/>
      </w:r>
    </w:p>
    <w:p w14:paraId="2DCB6217" w14:textId="38706DDC" w:rsidR="00627367" w:rsidRPr="007B6860" w:rsidRDefault="00627367" w:rsidP="00627367">
      <w:pPr>
        <w:pStyle w:val="Listeavsnitt"/>
        <w:numPr>
          <w:ilvl w:val="0"/>
          <w:numId w:val="33"/>
        </w:numPr>
      </w:pPr>
      <w:r>
        <w:rPr>
          <w:b/>
          <w:bCs/>
        </w:rPr>
        <w:t xml:space="preserve">Ulik forståelse og perspektiv: </w:t>
      </w:r>
      <w:r>
        <w:t xml:space="preserve">Det </w:t>
      </w:r>
      <w:r w:rsidR="005A1FD8">
        <w:t>synes å foreligge</w:t>
      </w:r>
      <w:r>
        <w:t xml:space="preserve"> store forskjeller i definisjonen av en personopplysning på tvers av aktørene som TAHR har vært i kontakt med.</w:t>
      </w:r>
    </w:p>
    <w:p w14:paraId="15C7B889" w14:textId="39ADF15B" w:rsidR="00627367" w:rsidRDefault="00627367" w:rsidP="00627367">
      <w:pPr>
        <w:pStyle w:val="Listeavsnitt"/>
        <w:numPr>
          <w:ilvl w:val="0"/>
          <w:numId w:val="33"/>
        </w:numPr>
      </w:pPr>
      <w:r>
        <w:rPr>
          <w:b/>
          <w:bCs/>
        </w:rPr>
        <w:t xml:space="preserve">Rettslig munnkurv: </w:t>
      </w:r>
      <w:r>
        <w:t xml:space="preserve">Ifølge National Security </w:t>
      </w:r>
      <w:proofErr w:type="spellStart"/>
      <w:r>
        <w:t>Bureau</w:t>
      </w:r>
      <w:proofErr w:type="spellEnd"/>
      <w:r>
        <w:t xml:space="preserve"> i Taiwan er organet rettslig forhindret å dele informasjon etter artikkel 16-1 paragraf 2 i CSSA. Denne type «munnkurv» gjelder trolig også flere andre aktører.</w:t>
      </w:r>
      <w:r>
        <w:rPr>
          <w:rStyle w:val="Fotnotereferanse"/>
        </w:rPr>
        <w:footnoteReference w:id="38"/>
      </w:r>
    </w:p>
    <w:p w14:paraId="29FF29BA" w14:textId="77777777" w:rsidR="00627367" w:rsidRDefault="00627367" w:rsidP="00627367">
      <w:pPr>
        <w:pStyle w:val="Overskrift5"/>
        <w:numPr>
          <w:ilvl w:val="3"/>
          <w:numId w:val="6"/>
        </w:numPr>
      </w:pPr>
      <w:r>
        <w:t xml:space="preserve">Slutning fra «Taiwan </w:t>
      </w:r>
      <w:proofErr w:type="spellStart"/>
      <w:r>
        <w:t>Internet</w:t>
      </w:r>
      <w:proofErr w:type="spellEnd"/>
      <w:r>
        <w:t xml:space="preserve"> </w:t>
      </w:r>
      <w:proofErr w:type="spellStart"/>
      <w:r>
        <w:t>Transparancy</w:t>
      </w:r>
      <w:proofErr w:type="spellEnd"/>
      <w:r>
        <w:t xml:space="preserve"> </w:t>
      </w:r>
      <w:proofErr w:type="gramStart"/>
      <w:r>
        <w:t>Report(</w:t>
      </w:r>
      <w:proofErr w:type="gramEnd"/>
      <w:r>
        <w:t>TITR)»</w:t>
      </w:r>
    </w:p>
    <w:p w14:paraId="3CF082C3" w14:textId="56A99139" w:rsidR="00627367" w:rsidRDefault="00627367" w:rsidP="00627367">
      <w:r>
        <w:t xml:space="preserve">Rapporten avdekker en rekke forhold som er relevant for vurderingen av hvordan CSSA gjennomføres i praksis. Det er likevel to punkter som </w:t>
      </w:r>
      <w:r w:rsidR="007E79B9">
        <w:t xml:space="preserve">etter prosjektets </w:t>
      </w:r>
      <w:r w:rsidR="001B757B">
        <w:t>vurdering er særlig viktig for å vurdere betydningen for vernet av personopplysninger som overføres til Taiwan</w:t>
      </w:r>
      <w:r>
        <w:t>:</w:t>
      </w:r>
    </w:p>
    <w:p w14:paraId="3E2DC0D5" w14:textId="107DDAA3" w:rsidR="00627367" w:rsidRDefault="005D2350" w:rsidP="002E78B0">
      <w:pPr>
        <w:pStyle w:val="Listeavsnitt"/>
        <w:numPr>
          <w:ilvl w:val="0"/>
          <w:numId w:val="35"/>
        </w:numPr>
      </w:pPr>
      <w:r>
        <w:t xml:space="preserve">Ifølge rapporten gjaldt </w:t>
      </w:r>
      <w:r w:rsidR="00627367">
        <w:t>89</w:t>
      </w:r>
      <w:r w:rsidR="001B757B">
        <w:t xml:space="preserve"> </w:t>
      </w:r>
      <w:r w:rsidR="00627367">
        <w:t>% av rapporterte overvåkningsforespørsler lokalt telefon- og mobilnettverk. Ettersom bruk av GWE i norske skoler kun involverer databehandling i</w:t>
      </w:r>
      <w:r w:rsidR="00627367" w:rsidRPr="0073097F">
        <w:t xml:space="preserve"> de øvrige tjenestenivåene i OSI-</w:t>
      </w:r>
      <w:r w:rsidR="00627367">
        <w:t>modellen, kan</w:t>
      </w:r>
      <w:r w:rsidR="00627367" w:rsidRPr="0073097F">
        <w:t xml:space="preserve"> </w:t>
      </w:r>
      <w:r w:rsidR="00627367">
        <w:t xml:space="preserve">det </w:t>
      </w:r>
      <w:r w:rsidR="00627367" w:rsidRPr="0073097F">
        <w:t>argumenteres for at gjennomføringen av CSSA, i praksis, i liten grad dekker</w:t>
      </w:r>
      <w:r w:rsidR="00627367">
        <w:t xml:space="preserve"> overføringen til</w:t>
      </w:r>
      <w:r w:rsidR="00627367" w:rsidRPr="0073097F">
        <w:t xml:space="preserve"> Taiwan</w:t>
      </w:r>
      <w:r w:rsidR="002E78B0">
        <w:t>.</w:t>
      </w:r>
      <w:r w:rsidR="00627367">
        <w:br/>
      </w:r>
    </w:p>
    <w:p w14:paraId="61D3870B" w14:textId="631E79C1" w:rsidR="00B66A13" w:rsidRPr="00197C02" w:rsidRDefault="005D2350" w:rsidP="001563FD">
      <w:pPr>
        <w:pStyle w:val="Listeavsnitt"/>
        <w:numPr>
          <w:ilvl w:val="0"/>
          <w:numId w:val="35"/>
        </w:numPr>
      </w:pPr>
      <w:r>
        <w:t>Ifølge rap</w:t>
      </w:r>
      <w:r w:rsidR="00FB1848">
        <w:t xml:space="preserve">porten </w:t>
      </w:r>
      <w:r w:rsidR="001B757B">
        <w:t xml:space="preserve">ble </w:t>
      </w:r>
      <w:r w:rsidR="00627367">
        <w:t>76</w:t>
      </w:r>
      <w:r w:rsidR="001B757B">
        <w:t xml:space="preserve"> </w:t>
      </w:r>
      <w:r w:rsidR="00627367">
        <w:t xml:space="preserve">% av </w:t>
      </w:r>
      <w:r w:rsidR="001B757B">
        <w:t xml:space="preserve">alle </w:t>
      </w:r>
      <w:r w:rsidR="00627367">
        <w:t xml:space="preserve">overvåkningsforespørsler mellom 2012 og 2014 gjennomført som ledd i </w:t>
      </w:r>
      <w:r w:rsidR="001B757B">
        <w:t xml:space="preserve">en </w:t>
      </w:r>
      <w:r w:rsidR="00627367">
        <w:t>kriminaletterforskning.</w:t>
      </w:r>
      <w:r w:rsidR="00FE5BFB">
        <w:t xml:space="preserve"> </w:t>
      </w:r>
      <w:r w:rsidR="001B757B">
        <w:t>Prosjektet trekker følgende konklusjon av dette</w:t>
      </w:r>
      <w:r w:rsidR="004A0267">
        <w:t xml:space="preserve">: </w:t>
      </w:r>
      <w:r w:rsidR="00FE5BFB">
        <w:t>I</w:t>
      </w:r>
      <w:r w:rsidR="00627367">
        <w:t xml:space="preserve"> den grad overvåkning i Taiwan forekommer</w:t>
      </w:r>
      <w:r w:rsidR="005C73FF">
        <w:t>, vil overvåkningen</w:t>
      </w:r>
      <w:r w:rsidR="00627367">
        <w:t xml:space="preserve"> med overveiende sannsynlighet være utløst av taiwanske straffebestemmelser. Dette innebærer en betydelig innsnevring av hvilke data som kan bli berørt av statlig overvåkning med hjemmel i CSSA. </w:t>
      </w:r>
    </w:p>
    <w:p w14:paraId="2CA036B4" w14:textId="5D77385C" w:rsidR="00FE6D13" w:rsidRDefault="00FE6D13" w:rsidP="00FE6D13">
      <w:pPr>
        <w:pStyle w:val="Overskrift4"/>
        <w:numPr>
          <w:ilvl w:val="2"/>
          <w:numId w:val="6"/>
        </w:numPr>
      </w:pPr>
      <w:r>
        <w:t>Google</w:t>
      </w:r>
    </w:p>
    <w:p w14:paraId="09D51EA8" w14:textId="389DA01F" w:rsidR="00F348B7" w:rsidRDefault="00765423" w:rsidP="00F348B7">
      <w:pPr>
        <w:pStyle w:val="Overskrift5"/>
        <w:numPr>
          <w:ilvl w:val="3"/>
          <w:numId w:val="6"/>
        </w:numPr>
      </w:pPr>
      <w:r>
        <w:t xml:space="preserve">Googles </w:t>
      </w:r>
      <w:r w:rsidR="00F348B7">
        <w:t>«</w:t>
      </w:r>
      <w:proofErr w:type="spellStart"/>
      <w:r w:rsidR="00F348B7">
        <w:t>Transparency</w:t>
      </w:r>
      <w:proofErr w:type="spellEnd"/>
      <w:r w:rsidR="00F348B7">
        <w:t xml:space="preserve"> Reports»</w:t>
      </w:r>
    </w:p>
    <w:p w14:paraId="76FE2179" w14:textId="0AADF21C" w:rsidR="00765423" w:rsidRPr="00EE32B6" w:rsidRDefault="00765423" w:rsidP="00765423">
      <w:r w:rsidRPr="00EE32B6">
        <w:t>Google</w:t>
      </w:r>
      <w:r w:rsidR="001A28DD">
        <w:t xml:space="preserve"> offentliggjør</w:t>
      </w:r>
      <w:r w:rsidR="000F0943">
        <w:t xml:space="preserve"> løpende</w:t>
      </w:r>
      <w:r w:rsidRPr="00EE32B6">
        <w:t xml:space="preserve"> rapporter med statistikk på globale forespørsler om brukerinformasjon</w:t>
      </w:r>
      <w:r w:rsidR="0020118D">
        <w:t>. Rapportene oppdateres hver sjette måned</w:t>
      </w:r>
      <w:r w:rsidRPr="00EE32B6">
        <w:t>. Her deles antall og type forespørsler som Google mottar fra offentlig</w:t>
      </w:r>
      <w:r w:rsidR="001D1D80">
        <w:t>e myndigheter</w:t>
      </w:r>
      <w:r w:rsidRPr="00EE32B6">
        <w:t>.</w:t>
      </w:r>
      <w:r w:rsidRPr="00EE32B6">
        <w:rPr>
          <w:rStyle w:val="Fotnotereferanse"/>
        </w:rPr>
        <w:footnoteReference w:id="39"/>
      </w:r>
      <w:r w:rsidRPr="00EE32B6">
        <w:t xml:space="preserve"> </w:t>
      </w:r>
    </w:p>
    <w:p w14:paraId="088F27FF" w14:textId="05671430" w:rsidR="00765423" w:rsidRPr="00765423" w:rsidRDefault="007314AA" w:rsidP="00765423">
      <w:r>
        <w:t xml:space="preserve">Siden januar 2020 </w:t>
      </w:r>
      <w:r w:rsidR="00CB7A99">
        <w:t xml:space="preserve">og frem til 2024, </w:t>
      </w:r>
      <w:r w:rsidR="001D1D80">
        <w:t>rapporterer</w:t>
      </w:r>
      <w:r>
        <w:t xml:space="preserve"> Google om totalt 5550 forespørsler fra Taiwanske myndigheter</w:t>
      </w:r>
      <w:r w:rsidR="008E06AF">
        <w:t>.</w:t>
      </w:r>
      <w:r w:rsidR="00C8048F">
        <w:t xml:space="preserve"> I </w:t>
      </w:r>
      <w:r w:rsidR="00765423" w:rsidRPr="00EE32B6">
        <w:t xml:space="preserve">gjennomsnitt er litt over halvparten av forespørslene fulgt opp med utlevering av data. </w:t>
      </w:r>
      <w:r w:rsidR="00765423" w:rsidRPr="00B6766A">
        <w:rPr>
          <w:lang w:val="en-GB"/>
        </w:rPr>
        <w:t xml:space="preserve">I </w:t>
      </w:r>
      <w:proofErr w:type="spellStart"/>
      <w:r w:rsidR="00765423" w:rsidRPr="00B6766A">
        <w:rPr>
          <w:lang w:val="en-GB"/>
        </w:rPr>
        <w:t>rapporten</w:t>
      </w:r>
      <w:r w:rsidR="00A510CB" w:rsidRPr="00B6766A">
        <w:rPr>
          <w:lang w:val="en-GB"/>
        </w:rPr>
        <w:t>e</w:t>
      </w:r>
      <w:proofErr w:type="spellEnd"/>
      <w:r w:rsidR="00765423" w:rsidRPr="00B6766A">
        <w:rPr>
          <w:lang w:val="en-GB"/>
        </w:rPr>
        <w:t xml:space="preserve"> </w:t>
      </w:r>
      <w:proofErr w:type="spellStart"/>
      <w:r w:rsidR="00765423" w:rsidRPr="00B6766A">
        <w:rPr>
          <w:lang w:val="en-GB"/>
        </w:rPr>
        <w:t>skilles</w:t>
      </w:r>
      <w:proofErr w:type="spellEnd"/>
      <w:r w:rsidR="00765423" w:rsidRPr="00B6766A">
        <w:rPr>
          <w:lang w:val="en-GB"/>
        </w:rPr>
        <w:t xml:space="preserve"> det </w:t>
      </w:r>
      <w:proofErr w:type="spellStart"/>
      <w:r w:rsidR="00765423" w:rsidRPr="00B6766A">
        <w:rPr>
          <w:lang w:val="en-GB"/>
        </w:rPr>
        <w:t>mellom</w:t>
      </w:r>
      <w:proofErr w:type="spellEnd"/>
      <w:r w:rsidR="00765423" w:rsidRPr="00B6766A">
        <w:rPr>
          <w:lang w:val="en-GB"/>
        </w:rPr>
        <w:t xml:space="preserve"> «Emergency disclosure requests», og «Other legal requests». </w:t>
      </w:r>
      <w:r w:rsidR="006A782F">
        <w:t>Det er ikke kjent hva</w:t>
      </w:r>
      <w:r w:rsidR="00CA081C">
        <w:t xml:space="preserve"> to-delingen gjelder,</w:t>
      </w:r>
      <w:r w:rsidR="002A0D58" w:rsidRPr="00EE32B6">
        <w:t xml:space="preserve"> eller hvilke lover som forespørslene er hjemlet i</w:t>
      </w:r>
      <w:r w:rsidR="00765423" w:rsidRPr="00EE32B6">
        <w:t>.</w:t>
      </w:r>
      <w:r w:rsidR="002A0D58">
        <w:t xml:space="preserve"> </w:t>
      </w:r>
      <w:r w:rsidR="001B62BE">
        <w:t xml:space="preserve">Rapporten </w:t>
      </w:r>
      <w:r w:rsidR="007635E8">
        <w:t>tilfører kun et</w:t>
      </w:r>
      <w:r w:rsidR="00CE3D9A">
        <w:t xml:space="preserve"> kvantitativt overblikk</w:t>
      </w:r>
      <w:r w:rsidR="007A4AD0">
        <w:t xml:space="preserve"> over situasjonen</w:t>
      </w:r>
      <w:r w:rsidR="00CA081C">
        <w:t xml:space="preserve"> fra Googles side</w:t>
      </w:r>
      <w:r w:rsidR="007A4AD0">
        <w:t>.</w:t>
      </w:r>
    </w:p>
    <w:p w14:paraId="6A657C85" w14:textId="20882FE1" w:rsidR="00F348B7" w:rsidRPr="00F348B7" w:rsidRDefault="00C94270" w:rsidP="00300603">
      <w:pPr>
        <w:pStyle w:val="Overskrift5"/>
        <w:numPr>
          <w:ilvl w:val="3"/>
          <w:numId w:val="6"/>
        </w:numPr>
      </w:pPr>
      <w:r>
        <w:t>Korrespondanse</w:t>
      </w:r>
      <w:r w:rsidR="00765423">
        <w:t xml:space="preserve"> med Google</w:t>
      </w:r>
    </w:p>
    <w:p w14:paraId="6284AED9" w14:textId="549250F4" w:rsidR="00796650" w:rsidRDefault="00F61C81" w:rsidP="00DC2381">
      <w:r>
        <w:t>Prosjektet har</w:t>
      </w:r>
      <w:r w:rsidR="000E2FCE">
        <w:t xml:space="preserve"> </w:t>
      </w:r>
      <w:r w:rsidR="00086837">
        <w:t>tatt kontakt med</w:t>
      </w:r>
      <w:r w:rsidR="000E2FCE">
        <w:t xml:space="preserve"> Google </w:t>
      </w:r>
      <w:r w:rsidR="005641D0">
        <w:t xml:space="preserve">og </w:t>
      </w:r>
      <w:r w:rsidR="00B679BE">
        <w:t>etterspurt deling</w:t>
      </w:r>
      <w:r w:rsidR="00D13062">
        <w:t xml:space="preserve"> av</w:t>
      </w:r>
      <w:r w:rsidR="00AD10D8">
        <w:t xml:space="preserve"> </w:t>
      </w:r>
      <w:r w:rsidR="007B2AC7">
        <w:t>informasjon</w:t>
      </w:r>
      <w:r w:rsidR="00863A76">
        <w:t xml:space="preserve"> relevant for landvurderingen</w:t>
      </w:r>
      <w:r w:rsidR="007916A2">
        <w:t xml:space="preserve">. </w:t>
      </w:r>
      <w:r w:rsidR="001B757B">
        <w:t xml:space="preserve">Vi sendte en skriftlig </w:t>
      </w:r>
      <w:r w:rsidR="004F045F">
        <w:t xml:space="preserve">forespørsel </w:t>
      </w:r>
      <w:r w:rsidR="001B757B">
        <w:t xml:space="preserve">til </w:t>
      </w:r>
      <w:r w:rsidR="00DE0245">
        <w:t>Google 29.</w:t>
      </w:r>
      <w:r w:rsidR="001B757B">
        <w:t xml:space="preserve"> april </w:t>
      </w:r>
      <w:r w:rsidR="00DE0245">
        <w:t>2024</w:t>
      </w:r>
      <w:r w:rsidR="00EA03FD">
        <w:t xml:space="preserve"> </w:t>
      </w:r>
      <w:r w:rsidR="001B757B">
        <w:t xml:space="preserve">og fikk svar </w:t>
      </w:r>
      <w:r w:rsidR="00901F84">
        <w:t>10.</w:t>
      </w:r>
      <w:r w:rsidR="001B757B">
        <w:t xml:space="preserve"> mai </w:t>
      </w:r>
      <w:r w:rsidR="00901F84">
        <w:t xml:space="preserve">2024. </w:t>
      </w:r>
      <w:r w:rsidR="005E4C09">
        <w:t xml:space="preserve">I </w:t>
      </w:r>
      <w:r w:rsidR="00EA03FD">
        <w:lastRenderedPageBreak/>
        <w:t>forespørselen</w:t>
      </w:r>
      <w:r w:rsidR="005E4C09">
        <w:t xml:space="preserve"> ble Google anmodet om å svare</w:t>
      </w:r>
      <w:r w:rsidR="00283B13">
        <w:t xml:space="preserve"> ut</w:t>
      </w:r>
      <w:r w:rsidR="00A43592">
        <w:t>/</w:t>
      </w:r>
      <w:r w:rsidR="00F510C9">
        <w:t>beskrive</w:t>
      </w:r>
      <w:r w:rsidR="001047FB">
        <w:t xml:space="preserve"> Googles håndtering av utleveringsfor</w:t>
      </w:r>
      <w:r w:rsidR="00C92DA8">
        <w:t>e</w:t>
      </w:r>
      <w:r w:rsidR="001047FB">
        <w:t>spørsler fra taiwanske myndigheter</w:t>
      </w:r>
      <w:r w:rsidR="007A56F2">
        <w:t>.</w:t>
      </w:r>
      <w:r w:rsidR="00EB6F85">
        <w:t xml:space="preserve"> </w:t>
      </w:r>
    </w:p>
    <w:p w14:paraId="3439EF74" w14:textId="457218AA" w:rsidR="009E6377" w:rsidRDefault="00DF12BA" w:rsidP="00DC2381">
      <w:r>
        <w:t xml:space="preserve">Prosjektet vurderer svaret fra Google til å </w:t>
      </w:r>
      <w:r w:rsidR="001B757B">
        <w:t xml:space="preserve">ha </w:t>
      </w:r>
      <w:r w:rsidR="009255B8">
        <w:t xml:space="preserve">begrenset </w:t>
      </w:r>
      <w:r>
        <w:t xml:space="preserve">verdi for landvurderingen. </w:t>
      </w:r>
      <w:r w:rsidR="006457FC">
        <w:t xml:space="preserve">Google </w:t>
      </w:r>
      <w:r w:rsidR="004C3B1A">
        <w:t>henviste</w:t>
      </w:r>
      <w:r w:rsidR="006457FC">
        <w:t xml:space="preserve"> til allerede offentlig tilgjengelig informasjon</w:t>
      </w:r>
      <w:r w:rsidR="00837D75">
        <w:t xml:space="preserve"> </w:t>
      </w:r>
      <w:r w:rsidR="007D1455">
        <w:t>i deres «</w:t>
      </w:r>
      <w:proofErr w:type="spellStart"/>
      <w:r w:rsidR="007D1455">
        <w:t>Transparency</w:t>
      </w:r>
      <w:proofErr w:type="spellEnd"/>
      <w:r w:rsidR="007D1455">
        <w:t xml:space="preserve"> Reports»</w:t>
      </w:r>
      <w:r w:rsidR="006457FC">
        <w:t xml:space="preserve">. </w:t>
      </w:r>
      <w:r w:rsidR="000F53F9">
        <w:t>Det var kun Googles rapportering av statistikk for utleveringsbegjæringer knyttet GWE som var av betydning for prosjektet</w:t>
      </w:r>
      <w:r w:rsidR="008D2DAB">
        <w:t xml:space="preserve">. </w:t>
      </w:r>
      <w:r w:rsidR="005C54DA">
        <w:t>Google melde</w:t>
      </w:r>
      <w:r w:rsidR="006B609C">
        <w:t>r</w:t>
      </w:r>
      <w:r w:rsidR="005C54DA">
        <w:t xml:space="preserve"> at </w:t>
      </w:r>
      <w:r w:rsidR="009C51E1">
        <w:t xml:space="preserve">det kun var mottatt 4 forespørsler knyttet GWE i 2022. </w:t>
      </w:r>
      <w:r w:rsidR="00116231">
        <w:t>I lys av</w:t>
      </w:r>
      <w:r w:rsidR="00F94D05">
        <w:t xml:space="preserve"> rapporten fra TAHR</w:t>
      </w:r>
      <w:r w:rsidR="005B37DB">
        <w:t xml:space="preserve"> under punkt 4.4.2.1</w:t>
      </w:r>
      <w:r w:rsidR="006C0C8F">
        <w:t xml:space="preserve"> (1)</w:t>
      </w:r>
      <w:r w:rsidR="00F94D05">
        <w:t xml:space="preserve">, </w:t>
      </w:r>
      <w:r w:rsidR="006B12E7">
        <w:t>tyder</w:t>
      </w:r>
      <w:r w:rsidR="00F94D05">
        <w:t xml:space="preserve"> dette</w:t>
      </w:r>
      <w:r w:rsidR="006B12E7">
        <w:t xml:space="preserve"> på</w:t>
      </w:r>
      <w:r w:rsidR="009B70A1">
        <w:t xml:space="preserve"> </w:t>
      </w:r>
      <w:r w:rsidR="00FE55C7">
        <w:t>lite</w:t>
      </w:r>
      <w:r w:rsidR="006B12E7">
        <w:t>n</w:t>
      </w:r>
      <w:r w:rsidR="00FE55C7">
        <w:t xml:space="preserve"> til ingen endring i hyppighet og omfang av overvåkning </w:t>
      </w:r>
      <w:r w:rsidR="0095229D">
        <w:t>siden 2014. Det</w:t>
      </w:r>
      <w:r w:rsidR="006B12E7">
        <w:t xml:space="preserve"> er</w:t>
      </w:r>
      <w:r w:rsidR="0095229D">
        <w:t xml:space="preserve"> </w:t>
      </w:r>
      <w:r w:rsidR="00837D75">
        <w:t>lite</w:t>
      </w:r>
      <w:r w:rsidR="006B12E7">
        <w:t>n</w:t>
      </w:r>
      <w:r w:rsidR="00837D75">
        <w:t xml:space="preserve"> grunn til å tro at situasjonen vil endres kommende år. </w:t>
      </w:r>
    </w:p>
    <w:p w14:paraId="25FBD3CF" w14:textId="6B97E5D3" w:rsidR="00C24E36" w:rsidRDefault="00C24E36" w:rsidP="00C24E36">
      <w:pPr>
        <w:pStyle w:val="Overskrift4"/>
        <w:numPr>
          <w:ilvl w:val="2"/>
          <w:numId w:val="6"/>
        </w:numPr>
      </w:pPr>
      <w:r>
        <w:t>Lokal ekspertise</w:t>
      </w:r>
      <w:r w:rsidR="001664FF">
        <w:t xml:space="preserve"> i Taiwan</w:t>
      </w:r>
    </w:p>
    <w:p w14:paraId="204E5617" w14:textId="27000FA8" w:rsidR="0093337E" w:rsidRPr="00F846C9" w:rsidRDefault="00C24E36" w:rsidP="00DC2381">
      <w:r w:rsidRPr="00F846C9">
        <w:t xml:space="preserve">Prosjektet </w:t>
      </w:r>
      <w:r w:rsidR="00BE5052" w:rsidRPr="00F846C9">
        <w:t>har</w:t>
      </w:r>
      <w:r w:rsidR="00CD6BAF" w:rsidRPr="00F846C9">
        <w:t xml:space="preserve"> </w:t>
      </w:r>
      <w:r w:rsidR="00203BA8" w:rsidRPr="00F846C9">
        <w:t xml:space="preserve">vært i dialog </w:t>
      </w:r>
      <w:r w:rsidR="00CD6BAF" w:rsidRPr="00F846C9">
        <w:t>med</w:t>
      </w:r>
      <w:r w:rsidR="007D48F6" w:rsidRPr="00F846C9">
        <w:t xml:space="preserve"> </w:t>
      </w:r>
      <w:r w:rsidR="00237D64" w:rsidRPr="00F846C9">
        <w:t>lokal ekspertise i Taiwan</w:t>
      </w:r>
      <w:r w:rsidR="006D13C1" w:rsidRPr="00F846C9">
        <w:t xml:space="preserve"> og har</w:t>
      </w:r>
      <w:r w:rsidR="001B10F9" w:rsidRPr="00F846C9">
        <w:t xml:space="preserve"> i den forbindelse</w:t>
      </w:r>
      <w:r w:rsidR="00711AE9" w:rsidRPr="00F846C9">
        <w:t xml:space="preserve"> oversendt spørsmål til a</w:t>
      </w:r>
      <w:r w:rsidR="007D48F6" w:rsidRPr="00F846C9">
        <w:t xml:space="preserve">dvokatfirmaet </w:t>
      </w:r>
      <w:proofErr w:type="spellStart"/>
      <w:r w:rsidR="007D48F6" w:rsidRPr="00F846C9">
        <w:t>Nishimura</w:t>
      </w:r>
      <w:proofErr w:type="spellEnd"/>
      <w:r w:rsidR="007D48F6" w:rsidRPr="00F846C9">
        <w:t xml:space="preserve"> &amp; Asahi Taiwan</w:t>
      </w:r>
      <w:r w:rsidR="00DC4B80" w:rsidRPr="00F846C9">
        <w:t xml:space="preserve">. Hensikten er å verifisere at prosjektets </w:t>
      </w:r>
      <w:r w:rsidR="0037087C" w:rsidRPr="00F846C9">
        <w:t xml:space="preserve">tolkning </w:t>
      </w:r>
      <w:r w:rsidR="00DC4B80" w:rsidRPr="00F846C9">
        <w:t xml:space="preserve">av Taiwansk lovgivning stemmer overens med </w:t>
      </w:r>
      <w:r w:rsidR="0037087C" w:rsidRPr="00F846C9">
        <w:t>gjeldende rett</w:t>
      </w:r>
      <w:r w:rsidR="00F173EB" w:rsidRPr="00F846C9">
        <w:t xml:space="preserve"> i Taiwan</w:t>
      </w:r>
      <w:r w:rsidRPr="00F846C9">
        <w:t>. Spørsmålene inneholder påstander om Taiwansk lovgivning som vi har</w:t>
      </w:r>
      <w:r w:rsidR="00EC5B52">
        <w:t xml:space="preserve"> hatt</w:t>
      </w:r>
      <w:r w:rsidRPr="00F846C9">
        <w:t xml:space="preserve"> behov for å få bekreftet/avkreftet.</w:t>
      </w:r>
      <w:r w:rsidR="00AC5B34" w:rsidRPr="00F846C9">
        <w:t xml:space="preserve"> </w:t>
      </w:r>
    </w:p>
    <w:p w14:paraId="24E44E3D" w14:textId="4D5971CF" w:rsidR="003300EE" w:rsidRPr="00F846C9" w:rsidRDefault="004E44A1" w:rsidP="00DC2381">
      <w:proofErr w:type="spellStart"/>
      <w:r w:rsidRPr="00F846C9">
        <w:t>Nishimura</w:t>
      </w:r>
      <w:proofErr w:type="spellEnd"/>
      <w:r w:rsidRPr="00F846C9">
        <w:t xml:space="preserve"> &amp; Asahi støtter prosjektets konklusjoner på sentrale punkter. </w:t>
      </w:r>
      <w:r w:rsidR="00714E55" w:rsidRPr="00F846C9">
        <w:t>S</w:t>
      </w:r>
      <w:r w:rsidR="0043338F" w:rsidRPr="00F846C9">
        <w:t xml:space="preserve">var fra </w:t>
      </w:r>
      <w:proofErr w:type="spellStart"/>
      <w:r w:rsidR="0043338F" w:rsidRPr="00F846C9">
        <w:t>Nishimura</w:t>
      </w:r>
      <w:proofErr w:type="spellEnd"/>
      <w:r w:rsidR="0043338F" w:rsidRPr="00F846C9">
        <w:t xml:space="preserve"> &amp; Asahi Taiwan</w:t>
      </w:r>
      <w:r w:rsidR="00714E55" w:rsidRPr="00F846C9">
        <w:t xml:space="preserve"> sammen med våre spørsmål</w:t>
      </w:r>
      <w:r w:rsidR="0043338F" w:rsidRPr="00F846C9">
        <w:t xml:space="preserve"> kan finnes i vedlegg til denne </w:t>
      </w:r>
      <w:r w:rsidR="00B45B8B">
        <w:t>landvurderingen</w:t>
      </w:r>
      <w:r w:rsidR="0043338F" w:rsidRPr="00F846C9">
        <w:t xml:space="preserve">. </w:t>
      </w:r>
    </w:p>
    <w:p w14:paraId="6E969FF5" w14:textId="535FB87A" w:rsidR="002C7F7C" w:rsidRDefault="003E7266" w:rsidP="002C7F7C">
      <w:pPr>
        <w:pStyle w:val="Overskrift3"/>
      </w:pPr>
      <w:bookmarkStart w:id="46" w:name="_Toc175831474"/>
      <w:r>
        <w:t>Oppsummering av praksis</w:t>
      </w:r>
      <w:bookmarkEnd w:id="46"/>
    </w:p>
    <w:p w14:paraId="67C3C236" w14:textId="1C3DFE04" w:rsidR="00FC3034" w:rsidRDefault="00FC3034" w:rsidP="00FC3034">
      <w:r>
        <w:t>Gjennomgangen</w:t>
      </w:r>
      <w:r w:rsidR="00473D2D">
        <w:t xml:space="preserve"> av praksis</w:t>
      </w:r>
      <w:r w:rsidR="00512D93">
        <w:t xml:space="preserve"> gir en forståelse av</w:t>
      </w:r>
      <w:r>
        <w:t xml:space="preserve"> hvordan relevante regelverk for dataoverføring håndheves i Taiwan. Prosjektet følger veiledningen fra EDPB, som anbefaler analyse av tredjelandets praksis for å verifisere lovgivningens oppfyllelse av grunnleggende garantier. Selv om CSSA ikke oppfyller disse garantiene, inkluderes en praksisbeskrivelse for å identifisere supplerende sikkerhetstiltak i TIA-analysen.</w:t>
      </w:r>
    </w:p>
    <w:p w14:paraId="4D86957B" w14:textId="0E6EE756" w:rsidR="00FC3034" w:rsidRDefault="00FC3034" w:rsidP="00FC3034">
      <w:r>
        <w:t>Teksten gir en detaljert gjennomgang av domstolspraksis, herunder beskrivelse av «</w:t>
      </w:r>
      <w:proofErr w:type="spellStart"/>
      <w:r>
        <w:t>Judicial</w:t>
      </w:r>
      <w:proofErr w:type="spellEnd"/>
      <w:r>
        <w:t xml:space="preserve"> Yuan» og en sak (tolkning nr. 631) som gjelder lovlighet av overvåkning under CSSA. Denne tolkningen resulterte i at en lovparagraf ble funnet grunnlovsstridig og senere endret for å inkludere domstolskontroll ved overvåkningsforespørsler.</w:t>
      </w:r>
    </w:p>
    <w:p w14:paraId="01CE34DA" w14:textId="3430B359" w:rsidR="00FC3034" w:rsidRDefault="00FC3034" w:rsidP="00FC3034">
      <w:r>
        <w:t xml:space="preserve">Videre gjennomgås «Taiwan </w:t>
      </w:r>
      <w:proofErr w:type="spellStart"/>
      <w:r>
        <w:t>Internet</w:t>
      </w:r>
      <w:proofErr w:type="spellEnd"/>
      <w:r>
        <w:t xml:space="preserve"> </w:t>
      </w:r>
      <w:proofErr w:type="spellStart"/>
      <w:r>
        <w:t>Transparency</w:t>
      </w:r>
      <w:proofErr w:type="spellEnd"/>
      <w:r>
        <w:t xml:space="preserve"> Report» (TITR) fra 2015, som viser økt overvåkningsvirksomhet og manglende rettsstatsprinsipper i Taiwan. Rapporten peker på betydelige mørketall og manglende åpenhet fra taiwanske myndigheter.</w:t>
      </w:r>
    </w:p>
    <w:p w14:paraId="71014539" w14:textId="5ECE4E0F" w:rsidR="00055A80" w:rsidRPr="00055A80" w:rsidRDefault="00FC3034" w:rsidP="00FC3034">
      <w:r>
        <w:t>Googles «</w:t>
      </w:r>
      <w:proofErr w:type="spellStart"/>
      <w:r>
        <w:t>Transparency</w:t>
      </w:r>
      <w:proofErr w:type="spellEnd"/>
      <w:r>
        <w:t xml:space="preserve"> Reports» viser at det har vært relativt få forespørsler om utlevering av data fra taiwanske myndigheter. Prosjektet har også korrespondert med Google, som bekreftet begrenset antall forespørsler knyttet til GWE.</w:t>
      </w:r>
    </w:p>
    <w:p w14:paraId="1AB50E5E" w14:textId="77777777" w:rsidR="002C7F7C" w:rsidRPr="002C7F7C" w:rsidRDefault="002C7F7C" w:rsidP="002C7F7C"/>
    <w:p w14:paraId="42B738CB" w14:textId="0C43CA02" w:rsidR="002C7F7C" w:rsidRPr="000836CA" w:rsidRDefault="002C7F7C" w:rsidP="000836CA">
      <w:pPr>
        <w:pStyle w:val="Overskrift2"/>
        <w:numPr>
          <w:ilvl w:val="0"/>
          <w:numId w:val="6"/>
        </w:numPr>
        <w:rPr>
          <w:b w:val="0"/>
          <w:bCs/>
        </w:rPr>
      </w:pPr>
      <w:bookmarkStart w:id="47" w:name="_Toc175831475"/>
      <w:r w:rsidRPr="000836CA">
        <w:rPr>
          <w:b w:val="0"/>
          <w:bCs/>
        </w:rPr>
        <w:t>Konklusjon</w:t>
      </w:r>
      <w:r w:rsidR="00E74929" w:rsidRPr="000836CA">
        <w:rPr>
          <w:b w:val="0"/>
          <w:bCs/>
        </w:rPr>
        <w:t xml:space="preserve"> og anbefaling</w:t>
      </w:r>
      <w:bookmarkEnd w:id="47"/>
    </w:p>
    <w:p w14:paraId="7AA79D48" w14:textId="75265A1E" w:rsidR="003B2237" w:rsidRDefault="00B45B8B" w:rsidP="00DC2381">
      <w:r>
        <w:t>Landvurderingen</w:t>
      </w:r>
      <w:r w:rsidR="00E74929">
        <w:t xml:space="preserve"> viser at selv om lovverket og praksisen i Taiwan har blitt endret for å øke rettssikkerheten, er det fortsatt betydelige utfordringer med hensyn til overvåkning og gjennomsiktighet. Spesielt fremheves det at de fleste overvåkningsforespørsler er relatert til kriminaletterforskning og i stor grad påvirker lokal telefoni og mobilnettverk. </w:t>
      </w:r>
    </w:p>
    <w:p w14:paraId="77FC957B" w14:textId="305C7B59" w:rsidR="00B26590" w:rsidRDefault="00E74929" w:rsidP="00DC2381">
      <w:r>
        <w:t xml:space="preserve">Dette kan indikere at bruk av GWE i norske skoler sannsynligvis ikke vil bli sterkt berørt av taiwansk overvåkning. Likevel er det usikkerhet rundt den fulle graden av myndighetenes inngrep i personvern og privatliv, noe som krever </w:t>
      </w:r>
      <w:r w:rsidR="00A515F1">
        <w:t>at man</w:t>
      </w:r>
      <w:r>
        <w:t xml:space="preserve"> </w:t>
      </w:r>
      <w:r w:rsidR="00A515F1">
        <w:t xml:space="preserve">iverksetter </w:t>
      </w:r>
      <w:r>
        <w:t>supplerende sikkerhetstiltak.</w:t>
      </w:r>
    </w:p>
    <w:p w14:paraId="12D9D1A2" w14:textId="3726BCFA" w:rsidR="00E74929" w:rsidRDefault="00E74929" w:rsidP="00E74929">
      <w:r>
        <w:lastRenderedPageBreak/>
        <w:t>Basert på analysen over frarådes det å overføre personopplysninger til Taiwan. Dette er på grunn av de betydelige bekymringene rundt håndhevingen av CSSA i praksis og mangelen på garantier for personvern.</w:t>
      </w:r>
    </w:p>
    <w:p w14:paraId="69ADFD92" w14:textId="494C011A" w:rsidR="00EA7C6C" w:rsidRDefault="00E74929" w:rsidP="00E74929">
      <w:r>
        <w:t>Det er viktig å merke seg at dette bare er en anbefaling, og at den endelige beslutningen om hvorvidt man skal overføre personopplysninger til Taiwan må tas av den enkelte organisasjon basert på sin egen vurdering av risikoen.</w:t>
      </w:r>
    </w:p>
    <w:p w14:paraId="70F3408C" w14:textId="3854EBD3" w:rsidR="003B095D" w:rsidRDefault="003B095D" w:rsidP="00DC2381"/>
    <w:p w14:paraId="747EE3B3" w14:textId="77777777" w:rsidR="00BE3415" w:rsidRPr="00EE32B6" w:rsidRDefault="00BE3415" w:rsidP="0058655F">
      <w:pPr>
        <w:pStyle w:val="Overskrift2"/>
        <w:sectPr w:rsidR="00BE3415" w:rsidRPr="00EE32B6" w:rsidSect="00C775CF">
          <w:pgSz w:w="11906" w:h="16838"/>
          <w:pgMar w:top="1417" w:right="1417" w:bottom="1417" w:left="1417" w:header="708" w:footer="708" w:gutter="0"/>
          <w:cols w:space="708"/>
          <w:docGrid w:linePitch="360"/>
        </w:sectPr>
      </w:pPr>
    </w:p>
    <w:p w14:paraId="359729E5" w14:textId="758F7E5B" w:rsidR="00C008F4" w:rsidRPr="00BB2B92" w:rsidRDefault="00AF1BF6" w:rsidP="00BB2B92">
      <w:pPr>
        <w:pStyle w:val="Overskrift1"/>
        <w:jc w:val="center"/>
      </w:pPr>
      <w:bookmarkStart w:id="48" w:name="_Toc161830942"/>
      <w:bookmarkStart w:id="49" w:name="_Toc161830991"/>
      <w:bookmarkStart w:id="50" w:name="_Toc161830943"/>
      <w:bookmarkStart w:id="51" w:name="_Toc161830992"/>
      <w:bookmarkStart w:id="52" w:name="_Toc161830944"/>
      <w:bookmarkStart w:id="53" w:name="_Toc161830993"/>
      <w:bookmarkStart w:id="54" w:name="_Toc161830945"/>
      <w:bookmarkStart w:id="55" w:name="_Toc161830994"/>
      <w:bookmarkStart w:id="56" w:name="_Toc161830946"/>
      <w:bookmarkStart w:id="57" w:name="_Toc161830995"/>
      <w:bookmarkStart w:id="58" w:name="_Toc161830947"/>
      <w:bookmarkStart w:id="59" w:name="_Toc161830996"/>
      <w:bookmarkStart w:id="60" w:name="_Toc161830948"/>
      <w:bookmarkStart w:id="61" w:name="_Toc161830997"/>
      <w:bookmarkStart w:id="62" w:name="_Toc161830949"/>
      <w:bookmarkStart w:id="63" w:name="_Toc161830998"/>
      <w:bookmarkStart w:id="64" w:name="_Toc161830950"/>
      <w:bookmarkStart w:id="65" w:name="_Toc161830999"/>
      <w:bookmarkStart w:id="66" w:name="_Toc161830951"/>
      <w:bookmarkStart w:id="67" w:name="_Toc161831000"/>
      <w:bookmarkStart w:id="68" w:name="_Toc161830952"/>
      <w:bookmarkStart w:id="69" w:name="_Toc161831001"/>
      <w:bookmarkStart w:id="70" w:name="_Toc161830953"/>
      <w:bookmarkStart w:id="71" w:name="_Toc161831002"/>
      <w:bookmarkStart w:id="72" w:name="_Toc161830954"/>
      <w:bookmarkStart w:id="73" w:name="_Toc161831003"/>
      <w:bookmarkStart w:id="74" w:name="_Toc161830955"/>
      <w:bookmarkStart w:id="75" w:name="_Toc161831004"/>
      <w:bookmarkStart w:id="76" w:name="_Toc175831476"/>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BB2B92">
        <w:lastRenderedPageBreak/>
        <w:t>Litteraturliste</w:t>
      </w:r>
      <w:bookmarkEnd w:id="76"/>
    </w:p>
    <w:p w14:paraId="28BCD478" w14:textId="77777777" w:rsidR="00C008F4" w:rsidRPr="00DD230A" w:rsidRDefault="00C008F4" w:rsidP="00C008F4">
      <w:pPr>
        <w:jc w:val="center"/>
        <w:rPr>
          <w:b/>
          <w:bCs/>
          <w:sz w:val="36"/>
          <w:szCs w:val="36"/>
        </w:rPr>
      </w:pPr>
    </w:p>
    <w:p w14:paraId="47E6A088" w14:textId="7A44E1D0" w:rsidR="00AF1BF6" w:rsidRPr="00DD230A" w:rsidRDefault="00AF1BF6" w:rsidP="00DD230A">
      <w:pPr>
        <w:rPr>
          <w:b/>
          <w:bCs/>
          <w:sz w:val="24"/>
          <w:szCs w:val="24"/>
        </w:rPr>
      </w:pPr>
      <w:r w:rsidRPr="00DD230A">
        <w:rPr>
          <w:b/>
          <w:bCs/>
          <w:sz w:val="24"/>
          <w:szCs w:val="24"/>
        </w:rPr>
        <w:t>Lovverk</w:t>
      </w:r>
      <w:r w:rsidR="000B47F0" w:rsidRPr="00DD230A">
        <w:rPr>
          <w:b/>
          <w:bCs/>
          <w:sz w:val="24"/>
          <w:szCs w:val="24"/>
        </w:rPr>
        <w:t xml:space="preserve"> og annen rettslig dokumentasjon</w:t>
      </w:r>
    </w:p>
    <w:p w14:paraId="5336D693" w14:textId="132F71E0" w:rsidR="007E23A9" w:rsidRPr="00CE7C0C" w:rsidRDefault="00880202" w:rsidP="008470CA">
      <w:pPr>
        <w:rPr>
          <w:b/>
          <w:bCs/>
          <w:lang w:val="en-GB"/>
        </w:rPr>
      </w:pPr>
      <w:r w:rsidRPr="00CE7C0C">
        <w:rPr>
          <w:lang w:val="en-GB"/>
        </w:rPr>
        <w:t>P</w:t>
      </w:r>
      <w:r w:rsidR="00827AAA" w:rsidRPr="00CE7C0C">
        <w:rPr>
          <w:lang w:val="en-GB"/>
        </w:rPr>
        <w:t>ersonal Data Protection Act (PDPA)</w:t>
      </w:r>
      <w:r w:rsidR="006A7B1F" w:rsidRPr="00CE7C0C">
        <w:rPr>
          <w:b/>
          <w:bCs/>
          <w:lang w:val="en-GB"/>
        </w:rPr>
        <w:t xml:space="preserve">, </w:t>
      </w:r>
      <w:hyperlink r:id="rId17" w:history="1">
        <w:r w:rsidR="006A7B1F" w:rsidRPr="00CE7C0C">
          <w:rPr>
            <w:rStyle w:val="Hyperkobling"/>
            <w:lang w:val="en-GB"/>
          </w:rPr>
          <w:t>https://law.moj.gov.tw/Eng/LawClass/LawAll.aspx?PCode=I0050021</w:t>
        </w:r>
      </w:hyperlink>
      <w:r w:rsidR="00AF1BF6" w:rsidRPr="00CE7C0C">
        <w:rPr>
          <w:b/>
          <w:bCs/>
          <w:lang w:val="en-GB"/>
        </w:rPr>
        <w:t xml:space="preserve"> </w:t>
      </w:r>
    </w:p>
    <w:p w14:paraId="794E72DA" w14:textId="7C435E6D" w:rsidR="006A7B1F" w:rsidRPr="00CE7C0C" w:rsidRDefault="006A7B1F">
      <w:pPr>
        <w:rPr>
          <w:lang w:val="en-GB"/>
        </w:rPr>
      </w:pPr>
      <w:r w:rsidRPr="00CE7C0C">
        <w:rPr>
          <w:lang w:val="en-GB"/>
        </w:rPr>
        <w:t xml:space="preserve">Telecommunications Act (TA), </w:t>
      </w:r>
      <w:hyperlink r:id="rId18" w:history="1">
        <w:r w:rsidRPr="00CE7C0C">
          <w:rPr>
            <w:rStyle w:val="Hyperkobling"/>
            <w:lang w:val="en-GB"/>
          </w:rPr>
          <w:t>https://law.moj.gov.tw/ENG/LawClass/LawAll.aspx?pcode=K0060001</w:t>
        </w:r>
      </w:hyperlink>
      <w:r w:rsidRPr="00CE7C0C">
        <w:rPr>
          <w:lang w:val="en-GB"/>
        </w:rPr>
        <w:t xml:space="preserve"> </w:t>
      </w:r>
    </w:p>
    <w:p w14:paraId="40B3B124" w14:textId="23D1EC54" w:rsidR="00CE43C3" w:rsidRPr="00CE7C0C" w:rsidRDefault="00CE43C3">
      <w:pPr>
        <w:rPr>
          <w:lang w:val="en-GB"/>
        </w:rPr>
      </w:pPr>
      <w:r w:rsidRPr="00CE7C0C">
        <w:rPr>
          <w:lang w:val="en-GB"/>
        </w:rPr>
        <w:t xml:space="preserve">Telecommunications Management Act (TMA), </w:t>
      </w:r>
      <w:hyperlink r:id="rId19" w:history="1">
        <w:r w:rsidRPr="00CE7C0C">
          <w:rPr>
            <w:rStyle w:val="Hyperkobling"/>
            <w:lang w:val="en-GB"/>
          </w:rPr>
          <w:t>https://law.moj.gov.tw/ENG/LawClass/LawAll.aspx?pcode=K0060111</w:t>
        </w:r>
      </w:hyperlink>
      <w:r w:rsidRPr="00CE7C0C">
        <w:rPr>
          <w:lang w:val="en-GB"/>
        </w:rPr>
        <w:t xml:space="preserve"> </w:t>
      </w:r>
    </w:p>
    <w:p w14:paraId="4834BF3F" w14:textId="38737747" w:rsidR="000B47F0" w:rsidRPr="00CE7C0C" w:rsidRDefault="0075678F">
      <w:pPr>
        <w:rPr>
          <w:lang w:val="en-GB"/>
        </w:rPr>
      </w:pPr>
      <w:r w:rsidRPr="00CE7C0C">
        <w:rPr>
          <w:lang w:val="en-GB"/>
        </w:rPr>
        <w:t>European Data Protection Board (EDPB)</w:t>
      </w:r>
      <w:r w:rsidR="00790163" w:rsidRPr="00CE7C0C">
        <w:rPr>
          <w:lang w:val="en-GB"/>
        </w:rPr>
        <w:t xml:space="preserve">, </w:t>
      </w:r>
      <w:r w:rsidR="008470CA" w:rsidRPr="00CE7C0C">
        <w:rPr>
          <w:lang w:val="en-GB"/>
        </w:rPr>
        <w:t xml:space="preserve">«Recommendations 02/2020 on the European Essential Guarantees for surveillance measures Adopted on 10 November 2020», 2020, </w:t>
      </w:r>
      <w:hyperlink r:id="rId20" w:history="1">
        <w:r w:rsidR="008470CA" w:rsidRPr="00CE7C0C">
          <w:rPr>
            <w:rStyle w:val="Hyperkobling"/>
            <w:lang w:val="en-GB"/>
          </w:rPr>
          <w:t>https://www.edpb.europa.eu/sites/default/files/files/file1/edpb_recommendations_202002_europeanessentialguaranteessurveillance_en.pdf</w:t>
        </w:r>
      </w:hyperlink>
      <w:r w:rsidR="008470CA" w:rsidRPr="00CE7C0C">
        <w:rPr>
          <w:lang w:val="en-GB"/>
        </w:rPr>
        <w:t xml:space="preserve"> </w:t>
      </w:r>
    </w:p>
    <w:p w14:paraId="0031C5E6" w14:textId="2B416A58" w:rsidR="000E3506" w:rsidRPr="00CE7C0C" w:rsidRDefault="005528F7">
      <w:pPr>
        <w:rPr>
          <w:lang w:val="en-GB"/>
        </w:rPr>
      </w:pPr>
      <w:r w:rsidRPr="00CE7C0C">
        <w:rPr>
          <w:lang w:val="en-GB"/>
        </w:rPr>
        <w:t>Constitutional Court R.O.C (Taiwan), No.631 [Issuance of Communications Surveillance Warrants Case], 20.07.2007</w:t>
      </w:r>
      <w:r w:rsidR="00EB56ED" w:rsidRPr="00CE7C0C">
        <w:rPr>
          <w:lang w:val="en-GB"/>
        </w:rPr>
        <w:t xml:space="preserve">, </w:t>
      </w:r>
      <w:hyperlink r:id="rId21" w:history="1">
        <w:r w:rsidR="00EB56ED" w:rsidRPr="00CE7C0C">
          <w:rPr>
            <w:rStyle w:val="Hyperkobling"/>
            <w:lang w:val="en-GB"/>
          </w:rPr>
          <w:t>https://cons.judicial.gov.tw/en/docdata.aspx?fid=100&amp;id=310812</w:t>
        </w:r>
      </w:hyperlink>
      <w:r w:rsidR="00EB56ED" w:rsidRPr="00CE7C0C">
        <w:rPr>
          <w:lang w:val="en-GB"/>
        </w:rPr>
        <w:t xml:space="preserve"> </w:t>
      </w:r>
    </w:p>
    <w:p w14:paraId="1713AE70" w14:textId="77777777" w:rsidR="00DD230A" w:rsidRDefault="00E95B93" w:rsidP="00DD230A">
      <w:r>
        <w:t xml:space="preserve">Lov om styrking av menneskerettighetenes stilling i norsk rett (menneskerettsloven), artikkel 8, </w:t>
      </w:r>
      <w:hyperlink r:id="rId22" w:anchor="KAPITTEL_2" w:history="1">
        <w:r w:rsidRPr="00296659">
          <w:rPr>
            <w:rStyle w:val="Hyperkobling"/>
          </w:rPr>
          <w:t>https://lovdata.no/dokument/NL/lov/1999-05-21-30/KAPITTEL_2#KAPITTEL_2</w:t>
        </w:r>
      </w:hyperlink>
      <w:r>
        <w:t xml:space="preserve"> </w:t>
      </w:r>
    </w:p>
    <w:p w14:paraId="4C2A9227" w14:textId="77777777" w:rsidR="00DD230A" w:rsidRDefault="00DD230A" w:rsidP="00DD230A"/>
    <w:p w14:paraId="3ACE0AB0" w14:textId="47FB846A" w:rsidR="00B679B1" w:rsidRPr="00CE7C0C" w:rsidRDefault="00B679B1" w:rsidP="00DD230A">
      <w:pPr>
        <w:rPr>
          <w:b/>
          <w:bCs/>
          <w:sz w:val="24"/>
          <w:szCs w:val="24"/>
          <w:lang w:val="en-GB"/>
        </w:rPr>
      </w:pPr>
      <w:proofErr w:type="spellStart"/>
      <w:r w:rsidRPr="00CE7C0C">
        <w:rPr>
          <w:b/>
          <w:bCs/>
          <w:sz w:val="24"/>
          <w:szCs w:val="24"/>
          <w:lang w:val="en-GB"/>
        </w:rPr>
        <w:t>Litteratur</w:t>
      </w:r>
      <w:proofErr w:type="spellEnd"/>
    </w:p>
    <w:p w14:paraId="7340DB6A" w14:textId="059A0921" w:rsidR="00964523" w:rsidRPr="00CE7C0C" w:rsidRDefault="009078E9" w:rsidP="00B679B1">
      <w:pPr>
        <w:rPr>
          <w:lang w:val="en-GB"/>
        </w:rPr>
      </w:pPr>
      <w:r w:rsidRPr="00CE7C0C">
        <w:rPr>
          <w:lang w:val="en-GB"/>
        </w:rPr>
        <w:t>31 J. Marshall J. Info. Tech. &amp; Privacy L. 145, «</w:t>
      </w:r>
      <w:r w:rsidR="00545983" w:rsidRPr="00CE7C0C">
        <w:rPr>
          <w:lang w:val="en-GB"/>
        </w:rPr>
        <w:t>Eyes on the Road Program in Taiwan―Information Privacy issues under the Taiwan Personal Data Protection Act</w:t>
      </w:r>
      <w:r w:rsidRPr="00CE7C0C">
        <w:rPr>
          <w:lang w:val="en-GB"/>
        </w:rPr>
        <w:t>»</w:t>
      </w:r>
      <w:r w:rsidR="00300EFA" w:rsidRPr="00CE7C0C">
        <w:rPr>
          <w:lang w:val="en-GB"/>
        </w:rPr>
        <w:t>, 2015</w:t>
      </w:r>
      <w:r w:rsidRPr="00CE7C0C">
        <w:rPr>
          <w:lang w:val="en-GB"/>
        </w:rPr>
        <w:t xml:space="preserve">, </w:t>
      </w:r>
      <w:hyperlink r:id="rId23" w:history="1">
        <w:r w:rsidR="00BC7776" w:rsidRPr="00CE7C0C">
          <w:rPr>
            <w:rStyle w:val="Hyperkobling"/>
            <w:lang w:val="en-GB"/>
          </w:rPr>
          <w:t>https://repository.law.uic.edu/cgi/viewcontent.cgi?article=1758&amp;context=jitpl</w:t>
        </w:r>
      </w:hyperlink>
      <w:r w:rsidR="00545983" w:rsidRPr="00CE7C0C">
        <w:rPr>
          <w:lang w:val="en-GB"/>
        </w:rPr>
        <w:t xml:space="preserve"> </w:t>
      </w:r>
    </w:p>
    <w:p w14:paraId="28095808" w14:textId="77777777" w:rsidR="00DD230A" w:rsidRPr="00CE7C0C" w:rsidRDefault="00CB0157" w:rsidP="00DD230A">
      <w:pPr>
        <w:rPr>
          <w:lang w:val="en-GB"/>
        </w:rPr>
      </w:pPr>
      <w:r w:rsidRPr="00CE7C0C">
        <w:rPr>
          <w:lang w:val="en-GB"/>
        </w:rPr>
        <w:t>Leading Cases of the Taiwan Constitutional Court, «Background Note by the translator, No.631, Volume One, Judicial Yuan, 2018,</w:t>
      </w:r>
    </w:p>
    <w:p w14:paraId="477AA135" w14:textId="77777777" w:rsidR="00DD230A" w:rsidRPr="00CE7C0C" w:rsidRDefault="00DD230A" w:rsidP="00DD230A">
      <w:pPr>
        <w:rPr>
          <w:lang w:val="en-GB"/>
        </w:rPr>
      </w:pPr>
    </w:p>
    <w:p w14:paraId="34477795" w14:textId="08B522EB" w:rsidR="00AF1BF6" w:rsidRPr="00CE7C0C" w:rsidRDefault="009E3EA3" w:rsidP="00DD230A">
      <w:pPr>
        <w:rPr>
          <w:b/>
          <w:bCs/>
          <w:sz w:val="24"/>
          <w:szCs w:val="24"/>
          <w:lang w:val="en-GB"/>
        </w:rPr>
      </w:pPr>
      <w:proofErr w:type="spellStart"/>
      <w:r w:rsidRPr="00CE7C0C">
        <w:rPr>
          <w:b/>
          <w:bCs/>
          <w:sz w:val="24"/>
          <w:szCs w:val="24"/>
          <w:lang w:val="en-GB"/>
        </w:rPr>
        <w:t>Øvrig</w:t>
      </w:r>
      <w:proofErr w:type="spellEnd"/>
      <w:r w:rsidRPr="00CE7C0C">
        <w:rPr>
          <w:b/>
          <w:bCs/>
          <w:sz w:val="24"/>
          <w:szCs w:val="24"/>
          <w:lang w:val="en-GB"/>
        </w:rPr>
        <w:t xml:space="preserve"> </w:t>
      </w:r>
      <w:proofErr w:type="spellStart"/>
      <w:r w:rsidRPr="00CE7C0C">
        <w:rPr>
          <w:b/>
          <w:bCs/>
          <w:sz w:val="24"/>
          <w:szCs w:val="24"/>
          <w:lang w:val="en-GB"/>
        </w:rPr>
        <w:t>kilder</w:t>
      </w:r>
      <w:proofErr w:type="spellEnd"/>
    </w:p>
    <w:p w14:paraId="4CC1F5D0" w14:textId="602F165F" w:rsidR="009E3EA3" w:rsidRPr="00CE7C0C" w:rsidRDefault="0042317D" w:rsidP="009E3EA3">
      <w:pPr>
        <w:rPr>
          <w:rStyle w:val="Hyperkobling"/>
          <w:lang w:val="en-GB"/>
        </w:rPr>
      </w:pPr>
      <w:r w:rsidRPr="00CE7C0C">
        <w:rPr>
          <w:lang w:val="en-GB"/>
        </w:rPr>
        <w:t xml:space="preserve">DataGuidance </w:t>
      </w:r>
      <w:hyperlink r:id="rId24" w:history="1">
        <w:r w:rsidRPr="00CE7C0C">
          <w:rPr>
            <w:rStyle w:val="Hyperkobling"/>
            <w:lang w:val="en-GB"/>
          </w:rPr>
          <w:t>Taiwan - Data Protection Overview | Guidance Note | DataGuidance</w:t>
        </w:r>
      </w:hyperlink>
    </w:p>
    <w:p w14:paraId="61065636" w14:textId="6A6ACC43" w:rsidR="00B679B1" w:rsidRPr="00CE7C0C" w:rsidRDefault="00170935">
      <w:pPr>
        <w:rPr>
          <w:lang w:val="en-GB"/>
        </w:rPr>
      </w:pPr>
      <w:r w:rsidRPr="00CE7C0C">
        <w:rPr>
          <w:lang w:val="en-GB"/>
        </w:rPr>
        <w:t>Freedom House, Taiwan Overview</w:t>
      </w:r>
      <w:r w:rsidR="00964523" w:rsidRPr="00CE7C0C">
        <w:rPr>
          <w:lang w:val="en-GB"/>
        </w:rPr>
        <w:t xml:space="preserve">, </w:t>
      </w:r>
      <w:hyperlink r:id="rId25" w:history="1">
        <w:r w:rsidR="00964523" w:rsidRPr="00CE7C0C">
          <w:rPr>
            <w:rStyle w:val="Hyperkobling"/>
            <w:lang w:val="en-GB"/>
          </w:rPr>
          <w:t>https://freedomhouse.org/country/taiwan/freedom-net/2021</w:t>
        </w:r>
      </w:hyperlink>
      <w:r w:rsidR="00964523" w:rsidRPr="00CE7C0C">
        <w:rPr>
          <w:lang w:val="en-GB"/>
        </w:rPr>
        <w:t xml:space="preserve"> </w:t>
      </w:r>
    </w:p>
    <w:p w14:paraId="7ED69360" w14:textId="3F806317" w:rsidR="00393A72" w:rsidRPr="00CE7C0C" w:rsidRDefault="00393A72">
      <w:pPr>
        <w:rPr>
          <w:lang w:val="en-GB"/>
        </w:rPr>
      </w:pPr>
      <w:r w:rsidRPr="00CE7C0C">
        <w:rPr>
          <w:lang w:val="en-GB"/>
        </w:rPr>
        <w:t xml:space="preserve">Global Taiwan Institute, Closing Loopholes in the Legal Framework for Government Surveillance in Taiwan, </w:t>
      </w:r>
      <w:r w:rsidR="006573E4" w:rsidRPr="00CE7C0C">
        <w:rPr>
          <w:lang w:val="en-GB"/>
        </w:rPr>
        <w:t>Global Taiwan Brief, Vol. 5, Issue 3, 2020</w:t>
      </w:r>
      <w:r w:rsidR="00C369EA" w:rsidRPr="00CE7C0C">
        <w:rPr>
          <w:lang w:val="en-GB"/>
        </w:rPr>
        <w:t xml:space="preserve">, </w:t>
      </w:r>
      <w:hyperlink r:id="rId26" w:history="1">
        <w:r w:rsidR="00C369EA" w:rsidRPr="00CE7C0C">
          <w:rPr>
            <w:rStyle w:val="Hyperkobling"/>
            <w:lang w:val="en-GB"/>
          </w:rPr>
          <w:t>https://globaltaiwan.org/2020/02/closing-loopholes-in-the-legal-framework-for-government-surveillance-in-taiwan/</w:t>
        </w:r>
      </w:hyperlink>
      <w:r w:rsidR="00C369EA" w:rsidRPr="00CE7C0C">
        <w:rPr>
          <w:lang w:val="en-GB"/>
        </w:rPr>
        <w:t xml:space="preserve"> </w:t>
      </w:r>
    </w:p>
    <w:p w14:paraId="2480B4DD" w14:textId="77777777" w:rsidR="00CE6F89" w:rsidRPr="00CE7C0C" w:rsidRDefault="00E875F1" w:rsidP="00CE6F89">
      <w:pPr>
        <w:rPr>
          <w:lang w:val="en-GB"/>
        </w:rPr>
      </w:pPr>
      <w:r w:rsidRPr="00CE7C0C">
        <w:rPr>
          <w:lang w:val="en-GB"/>
        </w:rPr>
        <w:t xml:space="preserve">Legislative Yuan, </w:t>
      </w:r>
      <w:hyperlink r:id="rId27" w:history="1">
        <w:r w:rsidR="00577BB2" w:rsidRPr="00CE7C0C">
          <w:rPr>
            <w:rStyle w:val="Hyperkobling"/>
            <w:lang w:val="en-GB"/>
          </w:rPr>
          <w:t>https://en.wikipedia.org/wiki/Legislative_Yuan</w:t>
        </w:r>
      </w:hyperlink>
      <w:r w:rsidR="00CE6F89" w:rsidRPr="00CE7C0C">
        <w:rPr>
          <w:lang w:val="en-GB"/>
        </w:rPr>
        <w:t xml:space="preserve"> </w:t>
      </w:r>
    </w:p>
    <w:p w14:paraId="0F3E9411" w14:textId="57231129" w:rsidR="00393A72" w:rsidRPr="00CE7C0C" w:rsidRDefault="00CE6F89">
      <w:pPr>
        <w:rPr>
          <w:lang w:val="en-GB"/>
        </w:rPr>
      </w:pPr>
      <w:r w:rsidRPr="00CE7C0C">
        <w:rPr>
          <w:lang w:val="en-GB"/>
        </w:rPr>
        <w:t xml:space="preserve">Lee and Li, Attorneys at Law, Newsletter, «The Telecommunications Management Act Becomes Effective on July 1, 2020», </w:t>
      </w:r>
      <w:hyperlink r:id="rId28" w:history="1">
        <w:r w:rsidRPr="00CE7C0C">
          <w:rPr>
            <w:rStyle w:val="Hyperkobling"/>
            <w:lang w:val="en-GB"/>
          </w:rPr>
          <w:t>https://www.leeandli.com/EN/NewslettersDetail/6496.htm</w:t>
        </w:r>
      </w:hyperlink>
      <w:r w:rsidRPr="00CE7C0C">
        <w:rPr>
          <w:lang w:val="en-GB"/>
        </w:rPr>
        <w:t xml:space="preserve"> </w:t>
      </w:r>
    </w:p>
    <w:p w14:paraId="2961A63F" w14:textId="315B53F2" w:rsidR="009677BA" w:rsidRPr="00CE7C0C" w:rsidRDefault="008C7126">
      <w:pPr>
        <w:rPr>
          <w:lang w:val="en-GB"/>
        </w:rPr>
      </w:pPr>
      <w:r w:rsidRPr="00CE7C0C">
        <w:rPr>
          <w:lang w:val="en-GB"/>
        </w:rPr>
        <w:t>Taiwan Internet Transparency Report</w:t>
      </w:r>
      <w:r w:rsidR="00634D92" w:rsidRPr="00CE7C0C">
        <w:rPr>
          <w:lang w:val="en-GB"/>
        </w:rPr>
        <w:t xml:space="preserve">, Taiwan Association for Human Rights (TAHR), 2015, </w:t>
      </w:r>
      <w:hyperlink r:id="rId29" w:history="1">
        <w:r w:rsidR="009677BA" w:rsidRPr="00CE7C0C">
          <w:rPr>
            <w:rStyle w:val="Hyperkobling"/>
            <w:lang w:val="en-GB"/>
          </w:rPr>
          <w:t>https://transparency.tahr.org.tw/TITR_Report_2015_en.pdf</w:t>
        </w:r>
      </w:hyperlink>
      <w:r w:rsidR="009677BA" w:rsidRPr="00CE7C0C">
        <w:rPr>
          <w:lang w:val="en-GB"/>
        </w:rPr>
        <w:t xml:space="preserve"> </w:t>
      </w:r>
    </w:p>
    <w:p w14:paraId="20B394E8" w14:textId="77777777" w:rsidR="00DD230A" w:rsidRPr="00CE7C0C" w:rsidRDefault="00313AA0" w:rsidP="00DD230A">
      <w:pPr>
        <w:rPr>
          <w:lang w:val="en-GB"/>
        </w:rPr>
      </w:pPr>
      <w:r w:rsidRPr="00CE7C0C">
        <w:rPr>
          <w:lang w:val="en-GB"/>
        </w:rPr>
        <w:lastRenderedPageBreak/>
        <w:t xml:space="preserve">Google Transparency Report, Global requests for user information, Taiwan, </w:t>
      </w:r>
      <w:hyperlink r:id="rId30" w:history="1">
        <w:r w:rsidRPr="00CE7C0C">
          <w:rPr>
            <w:rStyle w:val="Hyperkobling"/>
            <w:lang w:val="en-GB"/>
          </w:rPr>
          <w:t>https://transparencyreport.google.com/user-data/overview?hl=en_US&amp;user_requests_report_period=series:requests,accounts;authority:TW;time:&amp;lu=legal_process_breakdown&amp;legal_process_breakdown=expanded:0</w:t>
        </w:r>
      </w:hyperlink>
      <w:r w:rsidRPr="00CE7C0C">
        <w:rPr>
          <w:lang w:val="en-GB"/>
        </w:rPr>
        <w:t xml:space="preserve"> </w:t>
      </w:r>
    </w:p>
    <w:p w14:paraId="3F41E6BB" w14:textId="77777777" w:rsidR="00DD230A" w:rsidRPr="00CE7C0C" w:rsidRDefault="00DD230A" w:rsidP="00DD230A">
      <w:pPr>
        <w:rPr>
          <w:lang w:val="en-GB"/>
        </w:rPr>
      </w:pPr>
    </w:p>
    <w:p w14:paraId="05B185BD" w14:textId="45170F52" w:rsidR="00FF3E35" w:rsidRPr="00DD230A" w:rsidRDefault="00FF3E35" w:rsidP="00DD230A">
      <w:pPr>
        <w:rPr>
          <w:b/>
          <w:bCs/>
          <w:sz w:val="24"/>
          <w:szCs w:val="24"/>
        </w:rPr>
      </w:pPr>
      <w:r w:rsidRPr="00DD230A">
        <w:rPr>
          <w:b/>
          <w:bCs/>
          <w:sz w:val="24"/>
          <w:szCs w:val="24"/>
        </w:rPr>
        <w:t>Illustrasjoner</w:t>
      </w:r>
    </w:p>
    <w:p w14:paraId="2515E21B" w14:textId="03662AD5" w:rsidR="00FF3E35" w:rsidRDefault="00FF3E35" w:rsidP="00FF3E35">
      <w:r>
        <w:t xml:space="preserve">OSI Model, </w:t>
      </w:r>
      <w:hyperlink r:id="rId31" w:history="1">
        <w:r w:rsidRPr="00296659">
          <w:rPr>
            <w:rStyle w:val="Hyperkobling"/>
          </w:rPr>
          <w:t>https://cdn.codegym.cc/images/article/3effcdd0-5b89-4574-b154-c2c1c65d945d/512.jpeg</w:t>
        </w:r>
      </w:hyperlink>
      <w:r>
        <w:t xml:space="preserve"> </w:t>
      </w:r>
    </w:p>
    <w:p w14:paraId="72355579" w14:textId="031D07A9" w:rsidR="00D66F07" w:rsidRDefault="00D66F07">
      <w:r>
        <w:br w:type="page"/>
      </w:r>
    </w:p>
    <w:p w14:paraId="256C9D8A" w14:textId="77777777" w:rsidR="00D66F07" w:rsidRDefault="00D66F07" w:rsidP="00FF3E35">
      <w:pPr>
        <w:rPr>
          <w:b/>
          <w:bCs/>
          <w:sz w:val="36"/>
          <w:szCs w:val="36"/>
        </w:rPr>
        <w:sectPr w:rsidR="00D66F07">
          <w:pgSz w:w="11906" w:h="16838"/>
          <w:pgMar w:top="1417" w:right="1417" w:bottom="1417" w:left="1417" w:header="708" w:footer="708" w:gutter="0"/>
          <w:cols w:space="708"/>
          <w:docGrid w:linePitch="360"/>
        </w:sectPr>
      </w:pPr>
    </w:p>
    <w:p w14:paraId="666EE546" w14:textId="77777777" w:rsidR="00D66F07" w:rsidRPr="00BB2B92" w:rsidRDefault="00D66F07" w:rsidP="00BB2B92">
      <w:pPr>
        <w:pStyle w:val="Overskrift1"/>
      </w:pPr>
      <w:bookmarkStart w:id="77" w:name="_Toc175831477"/>
      <w:r w:rsidRPr="00BB2B92">
        <w:lastRenderedPageBreak/>
        <w:t xml:space="preserve">Spørsmål og svar fra lokal ekspertise ved advokatfirmaet </w:t>
      </w:r>
      <w:proofErr w:type="spellStart"/>
      <w:r w:rsidRPr="00BB2B92">
        <w:t>Nishimura</w:t>
      </w:r>
      <w:proofErr w:type="spellEnd"/>
      <w:r w:rsidRPr="00BB2B92">
        <w:t xml:space="preserve"> &amp; Asahi Taiwan</w:t>
      </w:r>
      <w:bookmarkEnd w:id="77"/>
    </w:p>
    <w:p w14:paraId="191A95A1" w14:textId="77777777" w:rsidR="00D66F07" w:rsidRPr="00FF3E35" w:rsidRDefault="00D66F07" w:rsidP="00FF3E35">
      <w:r>
        <w:rPr>
          <w:b/>
          <w:bCs/>
          <w:sz w:val="36"/>
          <w:szCs w:val="36"/>
        </w:rPr>
        <w:t xml:space="preserve"> </w:t>
      </w:r>
    </w:p>
    <w:tbl>
      <w:tblPr>
        <w:tblStyle w:val="Tabellrutenett"/>
        <w:tblW w:w="0" w:type="auto"/>
        <w:tblLook w:val="04A0" w:firstRow="1" w:lastRow="0" w:firstColumn="1" w:lastColumn="0" w:noHBand="0" w:noVBand="1"/>
      </w:tblPr>
      <w:tblGrid>
        <w:gridCol w:w="541"/>
        <w:gridCol w:w="3648"/>
        <w:gridCol w:w="1264"/>
        <w:gridCol w:w="5366"/>
        <w:gridCol w:w="1667"/>
        <w:gridCol w:w="1520"/>
      </w:tblGrid>
      <w:tr w:rsidR="00D66F07" w:rsidRPr="00CC26C1" w14:paraId="46952A9D" w14:textId="77777777" w:rsidTr="008836DB">
        <w:tc>
          <w:tcPr>
            <w:tcW w:w="562" w:type="dxa"/>
            <w:vAlign w:val="center"/>
          </w:tcPr>
          <w:p w14:paraId="2BEB0753" w14:textId="77777777" w:rsidR="00D66F07" w:rsidRPr="00CC26C1" w:rsidRDefault="00D66F07" w:rsidP="008836DB">
            <w:pPr>
              <w:jc w:val="center"/>
              <w:rPr>
                <w:rFonts w:ascii="Times New Roman" w:hAnsi="Times New Roman" w:cs="Times New Roman"/>
                <w:b/>
                <w:bCs/>
                <w:lang w:val="en-GB"/>
              </w:rPr>
            </w:pPr>
            <w:r w:rsidRPr="00CC26C1">
              <w:rPr>
                <w:rFonts w:ascii="Times New Roman" w:hAnsi="Times New Roman" w:cs="Times New Roman"/>
                <w:b/>
                <w:bCs/>
                <w:lang w:val="en-GB"/>
              </w:rPr>
              <w:t>#</w:t>
            </w:r>
          </w:p>
        </w:tc>
        <w:tc>
          <w:tcPr>
            <w:tcW w:w="3818" w:type="dxa"/>
            <w:vAlign w:val="center"/>
          </w:tcPr>
          <w:p w14:paraId="7284B9B7" w14:textId="77777777" w:rsidR="00D66F07" w:rsidRPr="00CC26C1" w:rsidRDefault="00D66F07" w:rsidP="008836DB">
            <w:pPr>
              <w:jc w:val="center"/>
              <w:rPr>
                <w:rFonts w:ascii="Times New Roman" w:hAnsi="Times New Roman" w:cs="Times New Roman"/>
                <w:b/>
                <w:bCs/>
                <w:lang w:val="en-GB"/>
              </w:rPr>
            </w:pPr>
            <w:r w:rsidRPr="00CC26C1">
              <w:rPr>
                <w:rFonts w:ascii="Times New Roman" w:hAnsi="Times New Roman" w:cs="Times New Roman"/>
                <w:b/>
                <w:bCs/>
                <w:lang w:val="en-GB"/>
              </w:rPr>
              <w:t>Question</w:t>
            </w:r>
          </w:p>
        </w:tc>
        <w:tc>
          <w:tcPr>
            <w:tcW w:w="1285" w:type="dxa"/>
            <w:vAlign w:val="center"/>
          </w:tcPr>
          <w:p w14:paraId="68D59505" w14:textId="77777777" w:rsidR="00D66F07" w:rsidRPr="00CC26C1" w:rsidRDefault="00D66F07" w:rsidP="008836DB">
            <w:pPr>
              <w:jc w:val="center"/>
              <w:rPr>
                <w:rFonts w:ascii="Times New Roman" w:hAnsi="Times New Roman" w:cs="Times New Roman"/>
                <w:b/>
                <w:bCs/>
                <w:lang w:val="en-GB"/>
              </w:rPr>
            </w:pPr>
            <w:r w:rsidRPr="00CC26C1">
              <w:rPr>
                <w:rFonts w:ascii="Times New Roman" w:hAnsi="Times New Roman" w:cs="Times New Roman"/>
                <w:b/>
                <w:bCs/>
                <w:lang w:val="en-GB"/>
              </w:rPr>
              <w:t>Response (Yes or No)</w:t>
            </w:r>
          </w:p>
        </w:tc>
        <w:tc>
          <w:tcPr>
            <w:tcW w:w="5670" w:type="dxa"/>
            <w:vAlign w:val="center"/>
          </w:tcPr>
          <w:p w14:paraId="64C2BE40" w14:textId="77777777" w:rsidR="00D66F07" w:rsidRPr="00CC26C1" w:rsidRDefault="00D66F07" w:rsidP="008836DB">
            <w:pPr>
              <w:jc w:val="center"/>
              <w:rPr>
                <w:rFonts w:ascii="Times New Roman" w:hAnsi="Times New Roman" w:cs="Times New Roman"/>
                <w:b/>
                <w:bCs/>
                <w:lang w:val="en-GB"/>
              </w:rPr>
            </w:pPr>
            <w:r w:rsidRPr="005B3347">
              <w:rPr>
                <w:rFonts w:ascii="Times New Roman" w:hAnsi="Times New Roman" w:cs="Times New Roman"/>
                <w:b/>
                <w:bCs/>
                <w:lang w:val="en-GB"/>
              </w:rPr>
              <w:t>Brief explanation</w:t>
            </w:r>
            <w:r w:rsidRPr="005B3347">
              <w:rPr>
                <w:rFonts w:ascii="Times New Roman" w:hAnsi="Times New Roman" w:cs="Times New Roman"/>
                <w:b/>
                <w:bCs/>
                <w:lang w:val="en-GB"/>
              </w:rPr>
              <w:br/>
              <w:t>(please include reference to source)</w:t>
            </w:r>
          </w:p>
        </w:tc>
        <w:tc>
          <w:tcPr>
            <w:tcW w:w="1701" w:type="dxa"/>
            <w:vAlign w:val="center"/>
          </w:tcPr>
          <w:p w14:paraId="1E098A7F" w14:textId="77777777" w:rsidR="00D66F07" w:rsidRPr="00CC26C1" w:rsidRDefault="00D66F07" w:rsidP="008836DB">
            <w:pPr>
              <w:jc w:val="center"/>
              <w:rPr>
                <w:rFonts w:ascii="Times New Roman" w:hAnsi="Times New Roman" w:cs="Times New Roman"/>
                <w:b/>
                <w:bCs/>
                <w:lang w:val="en-GB"/>
              </w:rPr>
            </w:pPr>
            <w:r w:rsidRPr="00CC26C1">
              <w:rPr>
                <w:rFonts w:ascii="Times New Roman" w:hAnsi="Times New Roman" w:cs="Times New Roman"/>
                <w:b/>
                <w:bCs/>
                <w:lang w:val="en-GB"/>
              </w:rPr>
              <w:t>Likelihood of enforcement (Low Medium or High)</w:t>
            </w:r>
          </w:p>
        </w:tc>
        <w:tc>
          <w:tcPr>
            <w:tcW w:w="1560" w:type="dxa"/>
            <w:vAlign w:val="center"/>
          </w:tcPr>
          <w:p w14:paraId="6F12FD88" w14:textId="77777777" w:rsidR="00D66F07" w:rsidRPr="00CC26C1" w:rsidRDefault="00D66F07" w:rsidP="008836DB">
            <w:pPr>
              <w:jc w:val="center"/>
              <w:rPr>
                <w:rFonts w:ascii="Times New Roman" w:hAnsi="Times New Roman" w:cs="Times New Roman"/>
                <w:b/>
                <w:bCs/>
                <w:lang w:val="en-GB"/>
              </w:rPr>
            </w:pPr>
            <w:r w:rsidRPr="00CC26C1">
              <w:rPr>
                <w:rFonts w:ascii="Times New Roman" w:hAnsi="Times New Roman" w:cs="Times New Roman"/>
                <w:b/>
                <w:bCs/>
                <w:lang w:val="en-GB"/>
              </w:rPr>
              <w:t>Further comments (if any)</w:t>
            </w:r>
          </w:p>
        </w:tc>
      </w:tr>
      <w:tr w:rsidR="00D66F07" w:rsidRPr="00CC26C1" w14:paraId="15D7ED4C" w14:textId="77777777" w:rsidTr="008836DB">
        <w:tc>
          <w:tcPr>
            <w:tcW w:w="562" w:type="dxa"/>
          </w:tcPr>
          <w:p w14:paraId="6390AB90"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1</w:t>
            </w:r>
          </w:p>
        </w:tc>
        <w:tc>
          <w:tcPr>
            <w:tcW w:w="3818" w:type="dxa"/>
          </w:tcPr>
          <w:p w14:paraId="4012AE0C"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Is KS’ preliminary assessment of what Taiwanese legislation </w:t>
            </w:r>
            <w:proofErr w:type="gramStart"/>
            <w:r w:rsidRPr="00CC26C1">
              <w:rPr>
                <w:rFonts w:ascii="Times New Roman" w:hAnsi="Times New Roman" w:cs="Times New Roman"/>
                <w:lang w:val="en-GB"/>
              </w:rPr>
              <w:t>applies</w:t>
            </w:r>
            <w:proofErr w:type="gramEnd"/>
            <w:r w:rsidRPr="00CC26C1">
              <w:rPr>
                <w:rFonts w:ascii="Times New Roman" w:hAnsi="Times New Roman" w:cs="Times New Roman"/>
                <w:lang w:val="en-GB"/>
              </w:rPr>
              <w:t xml:space="preserve"> to the data transfer as set out above correct and complete? </w:t>
            </w:r>
          </w:p>
          <w:p w14:paraId="27ABCA11"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If not, please describe any other laws or regulations that might apply to the data transfer. </w:t>
            </w:r>
          </w:p>
        </w:tc>
        <w:tc>
          <w:tcPr>
            <w:tcW w:w="1285" w:type="dxa"/>
          </w:tcPr>
          <w:p w14:paraId="0473C180" w14:textId="77777777" w:rsidR="00D66F07" w:rsidRPr="00CC26C1" w:rsidRDefault="00D66F07" w:rsidP="008836DB">
            <w:pPr>
              <w:jc w:val="center"/>
              <w:rPr>
                <w:rFonts w:ascii="Times New Roman" w:eastAsia="PMingLiU" w:hAnsi="Times New Roman" w:cs="Times New Roman"/>
                <w:lang w:val="en-GB" w:eastAsia="zh-TW"/>
              </w:rPr>
            </w:pPr>
            <w:r w:rsidRPr="00CC26C1">
              <w:rPr>
                <w:rFonts w:ascii="Times New Roman" w:hAnsi="Times New Roman" w:cs="Times New Roman"/>
                <w:lang w:val="en-GB"/>
              </w:rPr>
              <w:t>No</w:t>
            </w:r>
          </w:p>
        </w:tc>
        <w:tc>
          <w:tcPr>
            <w:tcW w:w="5670" w:type="dxa"/>
          </w:tcPr>
          <w:p w14:paraId="67D2FE60" w14:textId="77777777" w:rsidR="00D66F07" w:rsidRPr="00CC26C1" w:rsidRDefault="00D66F07" w:rsidP="00D66F07">
            <w:pPr>
              <w:pStyle w:val="Listeavsnitt"/>
              <w:widowControl w:val="0"/>
              <w:numPr>
                <w:ilvl w:val="0"/>
                <w:numId w:val="45"/>
              </w:numPr>
              <w:overflowPunct w:val="0"/>
              <w:spacing w:line="360" w:lineRule="atLeast"/>
              <w:contextualSpacing w:val="0"/>
              <w:jc w:val="both"/>
              <w:rPr>
                <w:rFonts w:ascii="Times New Roman" w:hAnsi="Times New Roman" w:cs="Times New Roman"/>
                <w:lang w:val="en-GB"/>
              </w:rPr>
            </w:pPr>
            <w:r w:rsidRPr="00CC26C1">
              <w:rPr>
                <w:rFonts w:ascii="Times New Roman" w:hAnsi="Times New Roman" w:cs="Times New Roman"/>
                <w:lang w:val="en-GB"/>
              </w:rPr>
              <w:t xml:space="preserve">According to Paragraph 2, Article 51 of the PDPA, and the explanation promulgated by the competent authority (Fa-Lu-Zi No. 10403509750 dated 26 August 2015), </w:t>
            </w:r>
            <w:r w:rsidRPr="00CC26C1">
              <w:rPr>
                <w:rFonts w:ascii="Times New Roman" w:hAnsi="Times New Roman" w:cs="Times New Roman"/>
                <w:b/>
                <w:bCs/>
                <w:u w:val="single"/>
                <w:lang w:val="en-GB"/>
              </w:rPr>
              <w:t>the PDPA applies to all collection, processing, and use of personal data occurring within the territory of Taiwan</w:t>
            </w:r>
            <w:r w:rsidRPr="00CC26C1">
              <w:rPr>
                <w:rFonts w:ascii="Times New Roman" w:hAnsi="Times New Roman" w:cs="Times New Roman"/>
                <w:lang w:val="en-GB"/>
              </w:rPr>
              <w:t xml:space="preserve">, regardless of whether the data subject in question is located within Taiwan or not. </w:t>
            </w:r>
          </w:p>
          <w:p w14:paraId="24758F87" w14:textId="77777777" w:rsidR="00D66F07" w:rsidRPr="00CC26C1" w:rsidRDefault="00D66F07" w:rsidP="00D66F07">
            <w:pPr>
              <w:pStyle w:val="Listeavsnitt"/>
              <w:widowControl w:val="0"/>
              <w:numPr>
                <w:ilvl w:val="0"/>
                <w:numId w:val="45"/>
              </w:numPr>
              <w:overflowPunct w:val="0"/>
              <w:spacing w:line="360" w:lineRule="atLeast"/>
              <w:contextualSpacing w:val="0"/>
              <w:jc w:val="both"/>
              <w:rPr>
                <w:rFonts w:ascii="Times New Roman" w:hAnsi="Times New Roman" w:cs="Times New Roman"/>
                <w:lang w:val="en-GB"/>
              </w:rPr>
            </w:pPr>
            <w:r w:rsidRPr="00CC26C1">
              <w:rPr>
                <w:rFonts w:ascii="Times New Roman" w:hAnsi="Times New Roman" w:cs="Times New Roman"/>
                <w:lang w:val="en-GB"/>
              </w:rPr>
              <w:t>Furthermore, “processing” in</w:t>
            </w:r>
            <w:r>
              <w:rPr>
                <w:rFonts w:ascii="Times New Roman" w:hAnsi="Times New Roman" w:cs="Times New Roman"/>
                <w:lang w:val="en-GB"/>
              </w:rPr>
              <w:t xml:space="preserve"> the</w:t>
            </w:r>
            <w:r w:rsidRPr="00CC26C1">
              <w:rPr>
                <w:rFonts w:ascii="Times New Roman" w:hAnsi="Times New Roman" w:cs="Times New Roman"/>
                <w:lang w:val="en-GB"/>
              </w:rPr>
              <w:t xml:space="preserve"> PDPA refers to the act of recording, inputting, </w:t>
            </w:r>
            <w:r w:rsidRPr="00CC26C1">
              <w:rPr>
                <w:rFonts w:ascii="Times New Roman" w:hAnsi="Times New Roman" w:cs="Times New Roman"/>
                <w:b/>
                <w:bCs/>
                <w:u w:val="single"/>
                <w:lang w:val="en-GB"/>
              </w:rPr>
              <w:t>storing</w:t>
            </w:r>
            <w:r w:rsidRPr="00CC26C1">
              <w:rPr>
                <w:rFonts w:ascii="Times New Roman" w:hAnsi="Times New Roman" w:cs="Times New Roman"/>
                <w:lang w:val="en-GB"/>
              </w:rPr>
              <w:t>, compiling/editing, correcting, duplicating, retrieving, deleting, outputting, connecting</w:t>
            </w:r>
            <w:r>
              <w:rPr>
                <w:rFonts w:ascii="Times New Roman" w:hAnsi="Times New Roman" w:cs="Times New Roman"/>
                <w:lang w:val="en-GB"/>
              </w:rPr>
              <w:t>,</w:t>
            </w:r>
            <w:r w:rsidRPr="00CC26C1">
              <w:rPr>
                <w:rFonts w:ascii="Times New Roman" w:hAnsi="Times New Roman" w:cs="Times New Roman"/>
                <w:lang w:val="en-GB"/>
              </w:rPr>
              <w:t xml:space="preserve"> or internally transferring data for the purpose of establishing or using a personal data file, and “use” refers to the act of </w:t>
            </w:r>
            <w:r w:rsidRPr="00CC26C1">
              <w:rPr>
                <w:rFonts w:ascii="Times New Roman" w:hAnsi="Times New Roman" w:cs="Times New Roman"/>
                <w:b/>
                <w:bCs/>
                <w:u w:val="single"/>
                <w:lang w:val="en-GB"/>
              </w:rPr>
              <w:t>using personal data via any methods</w:t>
            </w:r>
            <w:r w:rsidRPr="00CC26C1">
              <w:rPr>
                <w:rFonts w:ascii="Times New Roman" w:hAnsi="Times New Roman" w:cs="Times New Roman"/>
                <w:lang w:val="en-GB"/>
              </w:rPr>
              <w:t xml:space="preserve"> other than processing. (Article 2 of the PDPA).</w:t>
            </w:r>
          </w:p>
          <w:p w14:paraId="4D10020A" w14:textId="77777777" w:rsidR="00D66F07" w:rsidRPr="00CC26C1" w:rsidRDefault="00D66F07" w:rsidP="00D66F07">
            <w:pPr>
              <w:pStyle w:val="Listeavsnitt"/>
              <w:widowControl w:val="0"/>
              <w:numPr>
                <w:ilvl w:val="0"/>
                <w:numId w:val="45"/>
              </w:numPr>
              <w:overflowPunct w:val="0"/>
              <w:spacing w:line="360" w:lineRule="atLeast"/>
              <w:contextualSpacing w:val="0"/>
              <w:jc w:val="both"/>
              <w:rPr>
                <w:rFonts w:ascii="Times New Roman" w:hAnsi="Times New Roman" w:cs="Times New Roman"/>
                <w:lang w:val="en-GB"/>
              </w:rPr>
            </w:pPr>
            <w:r w:rsidRPr="00CC26C1">
              <w:rPr>
                <w:rFonts w:ascii="Times New Roman" w:eastAsia="PMingLiU" w:hAnsi="Times New Roman" w:cs="Times New Roman"/>
                <w:lang w:val="en-GB" w:eastAsia="zh-TW"/>
              </w:rPr>
              <w:t>As such, in this case, through using GWE, Norwegian users’ personal data may be transferred and stored in data cent</w:t>
            </w:r>
            <w:r>
              <w:rPr>
                <w:rFonts w:ascii="Times New Roman" w:eastAsia="PMingLiU" w:hAnsi="Times New Roman" w:cs="Times New Roman"/>
                <w:lang w:val="en-GB" w:eastAsia="zh-TW"/>
              </w:rPr>
              <w:t>re</w:t>
            </w:r>
            <w:r w:rsidRPr="00CC26C1">
              <w:rPr>
                <w:rFonts w:ascii="Times New Roman" w:eastAsia="PMingLiU" w:hAnsi="Times New Roman" w:cs="Times New Roman"/>
                <w:lang w:val="en-GB" w:eastAsia="zh-TW"/>
              </w:rPr>
              <w:t xml:space="preserve">s located in Taiwan and may be retransferred back to the EU/EEA from Taiwan. This constitutes processing and use of personal data within the territory of Taiwan, </w:t>
            </w:r>
            <w:r w:rsidRPr="00CC26C1">
              <w:rPr>
                <w:rFonts w:ascii="Times New Roman" w:eastAsia="PMingLiU" w:hAnsi="Times New Roman" w:cs="Times New Roman"/>
                <w:lang w:val="en-GB" w:eastAsia="zh-TW"/>
              </w:rPr>
              <w:lastRenderedPageBreak/>
              <w:t xml:space="preserve">to which the PDPA shall apply. </w:t>
            </w:r>
          </w:p>
          <w:p w14:paraId="7A2B04DC" w14:textId="77777777" w:rsidR="00D66F07" w:rsidRPr="00CC26C1" w:rsidRDefault="00D66F07" w:rsidP="00D66F07">
            <w:pPr>
              <w:pStyle w:val="Listeavsnitt"/>
              <w:widowControl w:val="0"/>
              <w:numPr>
                <w:ilvl w:val="0"/>
                <w:numId w:val="45"/>
              </w:numPr>
              <w:overflowPunct w:val="0"/>
              <w:spacing w:line="360" w:lineRule="atLeast"/>
              <w:contextualSpacing w:val="0"/>
              <w:jc w:val="both"/>
              <w:rPr>
                <w:rFonts w:ascii="Times New Roman" w:hAnsi="Times New Roman" w:cs="Times New Roman"/>
                <w:lang w:val="en-GB"/>
              </w:rPr>
            </w:pPr>
            <w:r w:rsidRPr="00CC26C1">
              <w:rPr>
                <w:rFonts w:ascii="Times New Roman" w:hAnsi="Times New Roman" w:cs="Times New Roman"/>
                <w:lang w:val="en-GB"/>
              </w:rPr>
              <w:t>In addition, Paragraph 2, Article 51 of the PDPA stipulates that the PDPA also applies where an entity collect</w:t>
            </w:r>
            <w:r>
              <w:rPr>
                <w:rFonts w:ascii="Times New Roman" w:hAnsi="Times New Roman" w:cs="Times New Roman"/>
                <w:lang w:val="en-GB"/>
              </w:rPr>
              <w:t>s</w:t>
            </w:r>
            <w:r w:rsidRPr="00CC26C1">
              <w:rPr>
                <w:rFonts w:ascii="Times New Roman" w:hAnsi="Times New Roman" w:cs="Times New Roman"/>
                <w:lang w:val="en-GB"/>
              </w:rPr>
              <w:t>, process</w:t>
            </w:r>
            <w:r>
              <w:rPr>
                <w:rFonts w:ascii="Times New Roman" w:hAnsi="Times New Roman" w:cs="Times New Roman"/>
                <w:lang w:val="en-GB"/>
              </w:rPr>
              <w:t>es</w:t>
            </w:r>
            <w:r w:rsidRPr="00CC26C1">
              <w:rPr>
                <w:rFonts w:ascii="Times New Roman" w:hAnsi="Times New Roman" w:cs="Times New Roman"/>
                <w:lang w:val="en-GB"/>
              </w:rPr>
              <w:t>, or use</w:t>
            </w:r>
            <w:r>
              <w:rPr>
                <w:rFonts w:ascii="Times New Roman" w:hAnsi="Times New Roman" w:cs="Times New Roman"/>
                <w:lang w:val="en-GB"/>
              </w:rPr>
              <w:t>s</w:t>
            </w:r>
            <w:r w:rsidRPr="00CC26C1">
              <w:rPr>
                <w:rFonts w:ascii="Times New Roman" w:hAnsi="Times New Roman" w:cs="Times New Roman"/>
                <w:lang w:val="en-GB"/>
              </w:rPr>
              <w:t xml:space="preserve"> the personal data of Taiwan nationals outside the territory of Taiwan. It cannot be ruled out that such “entity” may include a foreign entity established or organised in any other country than Taiwan. Therefore, even if the processing occurs outside Taiwan, if the personal data processed through GWE includes data of Taiwan nationals (e.g.</w:t>
            </w:r>
            <w:r>
              <w:rPr>
                <w:rFonts w:ascii="Times New Roman" w:hAnsi="Times New Roman" w:cs="Times New Roman"/>
                <w:lang w:val="en-GB"/>
              </w:rPr>
              <w:t>,</w:t>
            </w:r>
            <w:r w:rsidRPr="00CC26C1">
              <w:rPr>
                <w:rFonts w:ascii="Times New Roman" w:hAnsi="Times New Roman" w:cs="Times New Roman"/>
                <w:lang w:val="en-GB"/>
              </w:rPr>
              <w:t xml:space="preserve"> Taiwanese nationals residing in Norway), the PDPA may still apply.</w:t>
            </w:r>
            <w:r w:rsidRPr="00CC26C1">
              <w:rPr>
                <w:rFonts w:ascii="Times New Roman" w:eastAsia="PMingLiU" w:hAnsi="Times New Roman" w:cs="Times New Roman"/>
                <w:lang w:val="en-GB" w:eastAsia="zh-TW"/>
              </w:rPr>
              <w:t xml:space="preserve"> </w:t>
            </w:r>
          </w:p>
        </w:tc>
        <w:tc>
          <w:tcPr>
            <w:tcW w:w="1701" w:type="dxa"/>
          </w:tcPr>
          <w:p w14:paraId="5F6653D9"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lastRenderedPageBreak/>
              <w:t>High</w:t>
            </w:r>
          </w:p>
        </w:tc>
        <w:tc>
          <w:tcPr>
            <w:tcW w:w="1560" w:type="dxa"/>
          </w:tcPr>
          <w:p w14:paraId="73AB8345" w14:textId="77777777" w:rsidR="00D66F07" w:rsidRPr="00CC26C1" w:rsidRDefault="00D66F07" w:rsidP="008836DB">
            <w:pPr>
              <w:rPr>
                <w:rFonts w:ascii="Times New Roman" w:hAnsi="Times New Roman" w:cs="Times New Roman"/>
                <w:lang w:val="en-GB"/>
              </w:rPr>
            </w:pPr>
          </w:p>
        </w:tc>
      </w:tr>
      <w:tr w:rsidR="00D66F07" w:rsidRPr="00CC26C1" w14:paraId="5A6A6B2D" w14:textId="77777777" w:rsidTr="008836DB">
        <w:tc>
          <w:tcPr>
            <w:tcW w:w="562" w:type="dxa"/>
          </w:tcPr>
          <w:p w14:paraId="17B74092"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2</w:t>
            </w:r>
          </w:p>
        </w:tc>
        <w:tc>
          <w:tcPr>
            <w:tcW w:w="3818" w:type="dxa"/>
          </w:tcPr>
          <w:p w14:paraId="6C34F136"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Is there other general or sector-specific legislation that impacts data protection in the context of education or technology sectors, e.g. for </w:t>
            </w:r>
            <w:proofErr w:type="spellStart"/>
            <w:r w:rsidRPr="00CC26C1">
              <w:rPr>
                <w:rFonts w:ascii="Times New Roman" w:hAnsi="Times New Roman" w:cs="Times New Roman"/>
                <w:lang w:val="en-GB"/>
              </w:rPr>
              <w:t>datacenter</w:t>
            </w:r>
            <w:proofErr w:type="spellEnd"/>
            <w:r w:rsidRPr="00CC26C1">
              <w:rPr>
                <w:rFonts w:ascii="Times New Roman" w:hAnsi="Times New Roman" w:cs="Times New Roman"/>
                <w:lang w:val="en-GB"/>
              </w:rPr>
              <w:t xml:space="preserve">, server and storage services for personal data? </w:t>
            </w:r>
          </w:p>
        </w:tc>
        <w:tc>
          <w:tcPr>
            <w:tcW w:w="1285" w:type="dxa"/>
          </w:tcPr>
          <w:p w14:paraId="46168C18"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t>-</w:t>
            </w:r>
          </w:p>
        </w:tc>
        <w:tc>
          <w:tcPr>
            <w:tcW w:w="5670" w:type="dxa"/>
          </w:tcPr>
          <w:p w14:paraId="6A0948B6" w14:textId="77777777" w:rsidR="00D66F07" w:rsidRPr="00CC26C1" w:rsidRDefault="00D66F07" w:rsidP="00D66F07">
            <w:pPr>
              <w:pStyle w:val="Listeavsnitt"/>
              <w:widowControl w:val="0"/>
              <w:numPr>
                <w:ilvl w:val="0"/>
                <w:numId w:val="46"/>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Apart from the legislations mentioned in the RFQ, regulations authorised by Article 27 of the PDPA oblige certain data holders to implement security measures to safeguard personal data. For example, according to “Regulations on the Personal Data Security Maintenance and Management in Digital Economy Related Industries” (</w:t>
            </w:r>
            <w:r w:rsidRPr="00CC26C1">
              <w:rPr>
                <w:rFonts w:ascii="Times New Roman" w:eastAsia="PMingLiU" w:hAnsi="Times New Roman" w:cs="Times New Roman"/>
                <w:lang w:val="en-GB" w:eastAsia="zh-TW"/>
              </w:rPr>
              <w:t>數位經濟相關產業個人資料檔案安全維護管理辦法</w:t>
            </w:r>
            <w:r w:rsidRPr="00CC26C1">
              <w:rPr>
                <w:rFonts w:ascii="Times New Roman" w:eastAsia="PMingLiU" w:hAnsi="Times New Roman" w:cs="Times New Roman"/>
                <w:lang w:val="en-GB" w:eastAsia="zh-TW"/>
              </w:rPr>
              <w:t>), which are applicable to data centres, se</w:t>
            </w:r>
            <w:r>
              <w:rPr>
                <w:rFonts w:ascii="Times New Roman" w:eastAsia="PMingLiU" w:hAnsi="Times New Roman" w:cs="Times New Roman"/>
                <w:lang w:val="en-GB" w:eastAsia="zh-TW"/>
              </w:rPr>
              <w:t>rvers</w:t>
            </w:r>
            <w:r w:rsidRPr="00CC26C1">
              <w:rPr>
                <w:rFonts w:ascii="Times New Roman" w:eastAsia="PMingLiU" w:hAnsi="Times New Roman" w:cs="Times New Roman"/>
                <w:lang w:val="en-GB" w:eastAsia="zh-TW"/>
              </w:rPr>
              <w:t>, storage service</w:t>
            </w:r>
            <w:r>
              <w:rPr>
                <w:rFonts w:ascii="Times New Roman" w:eastAsia="PMingLiU" w:hAnsi="Times New Roman" w:cs="Times New Roman"/>
                <w:lang w:val="en-GB" w:eastAsia="zh-TW"/>
              </w:rPr>
              <w:t>s,</w:t>
            </w:r>
            <w:r w:rsidRPr="00CC26C1">
              <w:rPr>
                <w:rFonts w:ascii="Times New Roman" w:eastAsia="PMingLiU" w:hAnsi="Times New Roman" w:cs="Times New Roman"/>
                <w:lang w:val="en-GB" w:eastAsia="zh-TW"/>
              </w:rPr>
              <w:t xml:space="preserve"> and relevant industries, managers of such facilities shall implement internal control protocol, among other security measures, to safeguard personal data (please refer to item 8 hereunder).</w:t>
            </w:r>
          </w:p>
          <w:p w14:paraId="01375FB6" w14:textId="77777777" w:rsidR="00D66F07" w:rsidRPr="00CC26C1" w:rsidRDefault="00D66F07" w:rsidP="00D66F07">
            <w:pPr>
              <w:pStyle w:val="Listeavsnitt"/>
              <w:widowControl w:val="0"/>
              <w:numPr>
                <w:ilvl w:val="0"/>
                <w:numId w:val="46"/>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Articles 347 of the “Code of Civil Procedure” (</w:t>
            </w:r>
            <w:r w:rsidRPr="00CC26C1">
              <w:rPr>
                <w:rFonts w:ascii="Times New Roman" w:eastAsia="PMingLiU" w:hAnsi="Times New Roman" w:cs="Times New Roman"/>
                <w:lang w:val="en-GB" w:eastAsia="zh-TW"/>
              </w:rPr>
              <w:t>民事訴</w:t>
            </w:r>
            <w:r w:rsidRPr="00CC26C1">
              <w:rPr>
                <w:rFonts w:ascii="Times New Roman" w:eastAsia="PMingLiU" w:hAnsi="Times New Roman" w:cs="Times New Roman"/>
                <w:lang w:val="en-GB" w:eastAsia="zh-TW"/>
              </w:rPr>
              <w:lastRenderedPageBreak/>
              <w:t>訟法</w:t>
            </w:r>
            <w:r w:rsidRPr="00CC26C1">
              <w:rPr>
                <w:rFonts w:ascii="Times New Roman" w:eastAsia="PMingLiU" w:hAnsi="Times New Roman" w:cs="Times New Roman"/>
                <w:lang w:val="en-GB" w:eastAsia="zh-TW"/>
              </w:rPr>
              <w:t xml:space="preserve">) </w:t>
            </w:r>
            <w:r w:rsidRPr="00CC26C1">
              <w:rPr>
                <w:rFonts w:ascii="Times New Roman" w:hAnsi="Times New Roman" w:cs="Times New Roman"/>
                <w:lang w:val="en-GB"/>
              </w:rPr>
              <w:t>stipulates that the court may order, by a ruling, a third person to submit documents and data in its possession.</w:t>
            </w:r>
          </w:p>
          <w:p w14:paraId="445F8AAE" w14:textId="77777777" w:rsidR="00D66F07" w:rsidRPr="00CC26C1" w:rsidRDefault="00D66F07" w:rsidP="00D66F07">
            <w:pPr>
              <w:pStyle w:val="Listeavsnitt"/>
              <w:widowControl w:val="0"/>
              <w:numPr>
                <w:ilvl w:val="0"/>
                <w:numId w:val="46"/>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Article 47 of the “Law Governing the Legislative Yuan’s Power” (</w:t>
            </w:r>
            <w:r w:rsidRPr="00CC26C1">
              <w:rPr>
                <w:rFonts w:ascii="Times New Roman" w:eastAsia="PMingLiU" w:hAnsi="Times New Roman" w:cs="Times New Roman"/>
                <w:lang w:val="en-GB" w:eastAsia="zh-TW"/>
              </w:rPr>
              <w:t>立法院職權行使法</w:t>
            </w:r>
            <w:r w:rsidRPr="00CC26C1">
              <w:rPr>
                <w:rFonts w:ascii="Times New Roman" w:eastAsia="PMingLiU" w:hAnsi="Times New Roman" w:cs="Times New Roman"/>
                <w:lang w:val="en-GB" w:eastAsia="zh-TW"/>
              </w:rPr>
              <w:t>), which came into force on 26 June 2024, provides that investigative committees assembled in the Legislative Yuan, which is the legislative body of Taiwan, may demand individuals or enterprises to provide documents and data related to their investigations. Data protection may be impacted in the highly unlikely event that Google is requested to submit or provide relevant data in accordance with above laws.</w:t>
            </w:r>
          </w:p>
        </w:tc>
        <w:tc>
          <w:tcPr>
            <w:tcW w:w="1701" w:type="dxa"/>
          </w:tcPr>
          <w:p w14:paraId="20580C95" w14:textId="77777777" w:rsidR="00D66F07" w:rsidRPr="00CC26C1" w:rsidRDefault="00D66F07" w:rsidP="008836DB">
            <w:pPr>
              <w:jc w:val="center"/>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lastRenderedPageBreak/>
              <w:t>High</w:t>
            </w:r>
          </w:p>
          <w:p w14:paraId="6CE76720" w14:textId="77777777" w:rsidR="00D66F07" w:rsidRPr="00CC26C1" w:rsidRDefault="00D66F07" w:rsidP="008836DB">
            <w:pPr>
              <w:jc w:val="center"/>
              <w:rPr>
                <w:rFonts w:ascii="Times New Roman" w:hAnsi="Times New Roman" w:cs="Times New Roman"/>
                <w:lang w:val="en-GB" w:eastAsia="zh-TW"/>
              </w:rPr>
            </w:pPr>
          </w:p>
          <w:p w14:paraId="046C1CE8" w14:textId="77777777" w:rsidR="00D66F07" w:rsidRPr="00CC26C1" w:rsidRDefault="00D66F07" w:rsidP="008836DB">
            <w:pPr>
              <w:jc w:val="center"/>
              <w:rPr>
                <w:rFonts w:ascii="Times New Roman" w:hAnsi="Times New Roman" w:cs="Times New Roman"/>
                <w:lang w:val="en-GB" w:eastAsia="zh-TW"/>
              </w:rPr>
            </w:pPr>
          </w:p>
          <w:p w14:paraId="429DA182" w14:textId="77777777" w:rsidR="00D66F07" w:rsidRPr="00CC26C1" w:rsidRDefault="00D66F07" w:rsidP="008836DB">
            <w:pPr>
              <w:jc w:val="center"/>
              <w:rPr>
                <w:rFonts w:ascii="Times New Roman" w:hAnsi="Times New Roman" w:cs="Times New Roman"/>
                <w:lang w:val="en-GB" w:eastAsia="zh-TW"/>
              </w:rPr>
            </w:pPr>
          </w:p>
          <w:p w14:paraId="3449DF07" w14:textId="77777777" w:rsidR="00D66F07" w:rsidRPr="00CC26C1" w:rsidRDefault="00D66F07" w:rsidP="008836DB">
            <w:pPr>
              <w:jc w:val="center"/>
              <w:rPr>
                <w:rFonts w:ascii="Times New Roman" w:hAnsi="Times New Roman" w:cs="Times New Roman"/>
                <w:lang w:val="en-GB" w:eastAsia="zh-TW"/>
              </w:rPr>
            </w:pPr>
          </w:p>
          <w:p w14:paraId="10FDF17A" w14:textId="77777777" w:rsidR="00D66F07" w:rsidRPr="00CC26C1" w:rsidRDefault="00D66F07" w:rsidP="008836DB">
            <w:pPr>
              <w:jc w:val="center"/>
              <w:rPr>
                <w:rFonts w:ascii="Times New Roman" w:hAnsi="Times New Roman" w:cs="Times New Roman"/>
                <w:lang w:val="en-GB" w:eastAsia="zh-TW"/>
              </w:rPr>
            </w:pPr>
          </w:p>
          <w:p w14:paraId="7925984E" w14:textId="77777777" w:rsidR="00D66F07" w:rsidRPr="00CC26C1" w:rsidRDefault="00D66F07" w:rsidP="008836DB">
            <w:pPr>
              <w:jc w:val="center"/>
              <w:rPr>
                <w:rFonts w:ascii="Times New Roman" w:hAnsi="Times New Roman" w:cs="Times New Roman"/>
                <w:lang w:val="en-GB" w:eastAsia="zh-TW"/>
              </w:rPr>
            </w:pPr>
          </w:p>
          <w:p w14:paraId="3250D103" w14:textId="77777777" w:rsidR="00D66F07" w:rsidRPr="00CC26C1" w:rsidRDefault="00D66F07" w:rsidP="008836DB">
            <w:pPr>
              <w:jc w:val="center"/>
              <w:rPr>
                <w:rFonts w:ascii="Times New Roman" w:hAnsi="Times New Roman" w:cs="Times New Roman"/>
                <w:lang w:val="en-GB" w:eastAsia="zh-TW"/>
              </w:rPr>
            </w:pPr>
          </w:p>
          <w:p w14:paraId="616F307C" w14:textId="77777777" w:rsidR="00D66F07" w:rsidRPr="00CC26C1" w:rsidRDefault="00D66F07" w:rsidP="008836DB">
            <w:pPr>
              <w:jc w:val="center"/>
              <w:rPr>
                <w:rFonts w:ascii="Times New Roman" w:hAnsi="Times New Roman" w:cs="Times New Roman"/>
                <w:lang w:val="en-GB" w:eastAsia="zh-TW"/>
              </w:rPr>
            </w:pPr>
          </w:p>
          <w:p w14:paraId="01A4016F" w14:textId="77777777" w:rsidR="00D66F07" w:rsidRPr="00CC26C1" w:rsidRDefault="00D66F07" w:rsidP="008836DB">
            <w:pPr>
              <w:jc w:val="center"/>
              <w:rPr>
                <w:rFonts w:ascii="Times New Roman" w:hAnsi="Times New Roman" w:cs="Times New Roman"/>
                <w:lang w:val="en-GB" w:eastAsia="zh-TW"/>
              </w:rPr>
            </w:pPr>
          </w:p>
          <w:p w14:paraId="0BD7A085" w14:textId="77777777" w:rsidR="00D66F07" w:rsidRPr="00CC26C1" w:rsidRDefault="00D66F07" w:rsidP="008836DB">
            <w:pPr>
              <w:jc w:val="center"/>
              <w:rPr>
                <w:rFonts w:ascii="Times New Roman" w:hAnsi="Times New Roman" w:cs="Times New Roman"/>
                <w:lang w:val="en-GB" w:eastAsia="zh-TW"/>
              </w:rPr>
            </w:pPr>
          </w:p>
          <w:p w14:paraId="6A35D3B3" w14:textId="77777777" w:rsidR="00D66F07" w:rsidRPr="00CC26C1" w:rsidRDefault="00D66F07" w:rsidP="008836DB">
            <w:pPr>
              <w:jc w:val="center"/>
              <w:rPr>
                <w:rFonts w:ascii="Times New Roman" w:hAnsi="Times New Roman" w:cs="Times New Roman"/>
                <w:lang w:val="en-GB" w:eastAsia="zh-TW"/>
              </w:rPr>
            </w:pPr>
          </w:p>
          <w:p w14:paraId="2E076703" w14:textId="77777777" w:rsidR="00D66F07" w:rsidRPr="00CC26C1" w:rsidRDefault="00D66F07" w:rsidP="008836DB">
            <w:pPr>
              <w:jc w:val="center"/>
              <w:rPr>
                <w:rFonts w:ascii="Times New Roman" w:hAnsi="Times New Roman" w:cs="Times New Roman"/>
                <w:lang w:val="en-GB" w:eastAsia="zh-TW"/>
              </w:rPr>
            </w:pPr>
            <w:r w:rsidRPr="00CC26C1">
              <w:rPr>
                <w:rFonts w:ascii="Times New Roman" w:hAnsi="Times New Roman" w:cs="Times New Roman"/>
                <w:lang w:val="en-GB" w:eastAsia="zh-TW"/>
              </w:rPr>
              <w:t>Low</w:t>
            </w:r>
          </w:p>
        </w:tc>
        <w:tc>
          <w:tcPr>
            <w:tcW w:w="1560" w:type="dxa"/>
          </w:tcPr>
          <w:p w14:paraId="6D07AC50" w14:textId="77777777" w:rsidR="00D66F07" w:rsidRPr="00CC26C1" w:rsidRDefault="00D66F07" w:rsidP="008836DB">
            <w:pPr>
              <w:rPr>
                <w:rFonts w:ascii="Times New Roman" w:hAnsi="Times New Roman" w:cs="Times New Roman"/>
                <w:lang w:val="en-GB" w:eastAsia="zh-TW"/>
              </w:rPr>
            </w:pPr>
          </w:p>
        </w:tc>
      </w:tr>
      <w:tr w:rsidR="00D66F07" w:rsidRPr="00CC26C1" w14:paraId="2FCC537F" w14:textId="77777777" w:rsidTr="008836DB">
        <w:tc>
          <w:tcPr>
            <w:tcW w:w="562" w:type="dxa"/>
          </w:tcPr>
          <w:p w14:paraId="3F9E8FC3"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3</w:t>
            </w:r>
          </w:p>
        </w:tc>
        <w:tc>
          <w:tcPr>
            <w:tcW w:w="3818" w:type="dxa"/>
          </w:tcPr>
          <w:p w14:paraId="40FE13B1"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Please consult our assessment of the CSSA above. Is our summary and assessment of the Act accurate based on the context provided by us and your understanding of the data that is stored in Taiwan and the GWE service? </w:t>
            </w:r>
            <w:proofErr w:type="gramStart"/>
            <w:r w:rsidRPr="00CC26C1">
              <w:rPr>
                <w:rFonts w:ascii="Times New Roman" w:hAnsi="Times New Roman" w:cs="Times New Roman"/>
                <w:lang w:val="en-GB"/>
              </w:rPr>
              <w:t>In particular, please</w:t>
            </w:r>
            <w:proofErr w:type="gramEnd"/>
            <w:r w:rsidRPr="00CC26C1">
              <w:rPr>
                <w:rFonts w:ascii="Times New Roman" w:hAnsi="Times New Roman" w:cs="Times New Roman"/>
                <w:lang w:val="en-GB"/>
              </w:rPr>
              <w:t xml:space="preserve"> advise of any independent control bodies. </w:t>
            </w:r>
          </w:p>
          <w:p w14:paraId="6E463DB2" w14:textId="77777777" w:rsidR="00D66F07" w:rsidRPr="00CC26C1" w:rsidRDefault="00D66F07" w:rsidP="008836DB">
            <w:pPr>
              <w:rPr>
                <w:rFonts w:ascii="Times New Roman" w:hAnsi="Times New Roman" w:cs="Times New Roman"/>
                <w:lang w:val="en-GB"/>
              </w:rPr>
            </w:pPr>
          </w:p>
        </w:tc>
        <w:tc>
          <w:tcPr>
            <w:tcW w:w="1285" w:type="dxa"/>
          </w:tcPr>
          <w:p w14:paraId="17B9D20C"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t>No</w:t>
            </w:r>
          </w:p>
        </w:tc>
        <w:tc>
          <w:tcPr>
            <w:tcW w:w="5670" w:type="dxa"/>
          </w:tcPr>
          <w:p w14:paraId="4EBBDDEA" w14:textId="77777777" w:rsidR="00D66F07" w:rsidRPr="00CC26C1" w:rsidRDefault="00D66F07" w:rsidP="00D66F07">
            <w:pPr>
              <w:pStyle w:val="Listeavsnitt"/>
              <w:widowControl w:val="0"/>
              <w:numPr>
                <w:ilvl w:val="0"/>
                <w:numId w:val="46"/>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The CSSA governs communication surveillance </w:t>
            </w:r>
            <w:r>
              <w:rPr>
                <w:rFonts w:ascii="Times New Roman" w:eastAsia="PMingLiU" w:hAnsi="Times New Roman" w:cs="Times New Roman"/>
                <w:lang w:val="en-GB" w:eastAsia="zh-TW"/>
              </w:rPr>
              <w:t>conducted</w:t>
            </w:r>
            <w:r w:rsidRPr="00CC26C1">
              <w:rPr>
                <w:rFonts w:ascii="Times New Roman" w:eastAsia="PMingLiU" w:hAnsi="Times New Roman" w:cs="Times New Roman"/>
                <w:lang w:val="en-GB" w:eastAsia="zh-TW"/>
              </w:rPr>
              <w:t xml:space="preserve"> for the purposes of criminal investigation and national security. As it cannot be ruled out that Norwegian users of GWE may involve individuals or entities that fall into the definition of “foreign forces” in Article 8, or may be the subject of criminal investigation, the GWE service and relevant data is subject to</w:t>
            </w:r>
            <w:r>
              <w:rPr>
                <w:rFonts w:ascii="Times New Roman" w:eastAsia="PMingLiU" w:hAnsi="Times New Roman" w:cs="Times New Roman"/>
                <w:lang w:val="en-GB" w:eastAsia="zh-TW"/>
              </w:rPr>
              <w:t xml:space="preserve"> the</w:t>
            </w:r>
            <w:r w:rsidRPr="00CC26C1">
              <w:rPr>
                <w:rFonts w:ascii="Times New Roman" w:eastAsia="PMingLiU" w:hAnsi="Times New Roman" w:cs="Times New Roman"/>
                <w:lang w:val="en-GB" w:eastAsia="zh-TW"/>
              </w:rPr>
              <w:t xml:space="preserve"> CSSA.</w:t>
            </w:r>
          </w:p>
          <w:p w14:paraId="183D45C2" w14:textId="77777777" w:rsidR="00D66F07" w:rsidRPr="00CC26C1" w:rsidRDefault="00D66F07" w:rsidP="00D66F07">
            <w:pPr>
              <w:pStyle w:val="Listeavsnitt"/>
              <w:widowControl w:val="0"/>
              <w:numPr>
                <w:ilvl w:val="0"/>
                <w:numId w:val="46"/>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hAnsi="Times New Roman" w:cs="Times New Roman"/>
                <w:lang w:val="en-GB"/>
              </w:rPr>
              <w:t>However,</w:t>
            </w:r>
            <w:r w:rsidRPr="00CC26C1">
              <w:rPr>
                <w:rFonts w:ascii="Times New Roman" w:eastAsia="PMingLiU" w:hAnsi="Times New Roman" w:cs="Times New Roman"/>
                <w:lang w:val="en-GB" w:eastAsia="zh-TW"/>
              </w:rPr>
              <w:t xml:space="preserve"> a</w:t>
            </w:r>
            <w:r w:rsidRPr="00CC26C1">
              <w:rPr>
                <w:rFonts w:ascii="Times New Roman" w:hAnsi="Times New Roman" w:cs="Times New Roman"/>
                <w:lang w:val="en-GB"/>
              </w:rPr>
              <w:t xml:space="preserve">ccording to a precedent (最高法院106年度台非字第259號判決) of the Supreme Court of Taiwan, which has a de facto binding effect on courts, the CSSA applies to contents of </w:t>
            </w:r>
            <w:r w:rsidRPr="00CC26C1">
              <w:rPr>
                <w:rFonts w:ascii="Times New Roman" w:hAnsi="Times New Roman" w:cs="Times New Roman"/>
                <w:b/>
                <w:u w:val="single"/>
                <w:lang w:val="en-GB"/>
              </w:rPr>
              <w:t>ongoing communications</w:t>
            </w:r>
            <w:r>
              <w:rPr>
                <w:rFonts w:ascii="Times New Roman" w:hAnsi="Times New Roman" w:cs="Times New Roman"/>
                <w:b/>
                <w:u w:val="single"/>
                <w:lang w:val="en-GB"/>
              </w:rPr>
              <w:t xml:space="preserve"> and</w:t>
            </w:r>
            <w:r w:rsidRPr="00CC26C1">
              <w:rPr>
                <w:rFonts w:ascii="Times New Roman" w:hAnsi="Times New Roman" w:cs="Times New Roman"/>
                <w:b/>
                <w:u w:val="single"/>
                <w:lang w:val="en-GB"/>
              </w:rPr>
              <w:t xml:space="preserve"> </w:t>
            </w:r>
            <w:r w:rsidRPr="00CC26C1">
              <w:rPr>
                <w:rFonts w:ascii="Times New Roman" w:hAnsi="Times New Roman" w:cs="Times New Roman"/>
                <w:b/>
                <w:u w:val="single"/>
                <w:lang w:val="en-GB"/>
              </w:rPr>
              <w:lastRenderedPageBreak/>
              <w:t>data of communication records</w:t>
            </w:r>
            <w:r w:rsidRPr="00CC26C1">
              <w:rPr>
                <w:rFonts w:ascii="Times New Roman" w:hAnsi="Times New Roman" w:cs="Times New Roman"/>
                <w:lang w:val="en-GB"/>
              </w:rPr>
              <w:t xml:space="preserve"> (as defined in Paragraph 1 of Article 3-1, which means telecommunications numbers of the sender and the recipient, time of communication, length of use, address, service type,</w:t>
            </w:r>
            <w:r>
              <w:rPr>
                <w:rFonts w:ascii="Times New Roman" w:hAnsi="Times New Roman" w:cs="Times New Roman"/>
                <w:lang w:val="en-GB"/>
              </w:rPr>
              <w:t xml:space="preserve"> and</w:t>
            </w:r>
            <w:r w:rsidRPr="00CC26C1">
              <w:rPr>
                <w:rFonts w:ascii="Times New Roman" w:hAnsi="Times New Roman" w:cs="Times New Roman"/>
                <w:lang w:val="en-GB"/>
              </w:rPr>
              <w:t xml:space="preserve"> mailbox or location information generated by the telecommunications system after the telecommunications user uses the telecommunications services) </w:t>
            </w:r>
            <w:r w:rsidRPr="00CC26C1">
              <w:rPr>
                <w:rFonts w:ascii="Times New Roman" w:hAnsi="Times New Roman" w:cs="Times New Roman"/>
                <w:b/>
                <w:u w:val="single"/>
                <w:lang w:val="en-GB"/>
              </w:rPr>
              <w:t>and user information</w:t>
            </w:r>
            <w:r w:rsidRPr="00CC26C1">
              <w:rPr>
                <w:rFonts w:ascii="Times New Roman" w:hAnsi="Times New Roman" w:cs="Times New Roman"/>
                <w:u w:val="single"/>
                <w:lang w:val="en-GB"/>
              </w:rPr>
              <w:t xml:space="preserve"> </w:t>
            </w:r>
            <w:r w:rsidRPr="00CC26C1">
              <w:rPr>
                <w:rFonts w:ascii="Times New Roman" w:hAnsi="Times New Roman" w:cs="Times New Roman"/>
                <w:lang w:val="en-GB"/>
              </w:rPr>
              <w:t xml:space="preserve">(as defined in Paragraph 2 of Article 3-1, which means </w:t>
            </w:r>
            <w:r>
              <w:rPr>
                <w:rFonts w:ascii="Times New Roman" w:hAnsi="Times New Roman" w:cs="Times New Roman"/>
                <w:lang w:val="en-GB"/>
              </w:rPr>
              <w:t xml:space="preserve">the </w:t>
            </w:r>
            <w:r w:rsidRPr="00CC26C1">
              <w:rPr>
                <w:rFonts w:ascii="Times New Roman" w:hAnsi="Times New Roman" w:cs="Times New Roman"/>
                <w:lang w:val="en-GB"/>
              </w:rPr>
              <w:t xml:space="preserve">telecommunications user’s name, </w:t>
            </w:r>
            <w:r>
              <w:rPr>
                <w:rFonts w:ascii="Times New Roman" w:hAnsi="Times New Roman" w:cs="Times New Roman"/>
                <w:lang w:val="en-GB"/>
              </w:rPr>
              <w:t>identification document number</w:t>
            </w:r>
            <w:r w:rsidRPr="00CC26C1">
              <w:rPr>
                <w:rFonts w:ascii="Times New Roman" w:hAnsi="Times New Roman" w:cs="Times New Roman"/>
                <w:lang w:val="en-GB"/>
              </w:rPr>
              <w:t>, telecommunications number</w:t>
            </w:r>
            <w:r>
              <w:rPr>
                <w:rFonts w:ascii="Times New Roman" w:hAnsi="Times New Roman" w:cs="Times New Roman"/>
                <w:lang w:val="en-GB"/>
              </w:rPr>
              <w:t>,</w:t>
            </w:r>
            <w:r w:rsidRPr="00CC26C1">
              <w:rPr>
                <w:rFonts w:ascii="Times New Roman" w:hAnsi="Times New Roman" w:cs="Times New Roman"/>
                <w:lang w:val="en-GB"/>
              </w:rPr>
              <w:t xml:space="preserve"> and information in the application, for any type of telecommunications service), but not to other data.</w:t>
            </w:r>
            <w:r w:rsidRPr="00CC26C1">
              <w:rPr>
                <w:rFonts w:ascii="Times New Roman" w:eastAsia="PMingLiU" w:hAnsi="Times New Roman" w:cs="Times New Roman"/>
                <w:lang w:val="en-GB" w:eastAsia="zh-TW"/>
              </w:rPr>
              <w:t xml:space="preserve"> A search warrant issued in accordance with Article 122 and 128 of the Code of Criminal Procedure will be required to access other data stored in data centres. </w:t>
            </w:r>
          </w:p>
          <w:p w14:paraId="01A9DE99" w14:textId="77777777" w:rsidR="00D66F07" w:rsidRPr="00CC26C1" w:rsidRDefault="00D66F07" w:rsidP="00D66F07">
            <w:pPr>
              <w:pStyle w:val="Listeavsnitt"/>
              <w:widowControl w:val="0"/>
              <w:numPr>
                <w:ilvl w:val="0"/>
                <w:numId w:val="47"/>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Given its purposes of criminal investigation and national security, the competent authorities of</w:t>
            </w:r>
            <w:r>
              <w:rPr>
                <w:rFonts w:ascii="Times New Roman" w:eastAsia="PMingLiU" w:hAnsi="Times New Roman" w:cs="Times New Roman"/>
                <w:lang w:val="en-GB" w:eastAsia="zh-TW"/>
              </w:rPr>
              <w:t xml:space="preserve"> the</w:t>
            </w:r>
            <w:r w:rsidRPr="00CC26C1">
              <w:rPr>
                <w:rFonts w:ascii="Times New Roman" w:eastAsia="PMingLiU" w:hAnsi="Times New Roman" w:cs="Times New Roman"/>
                <w:lang w:val="en-GB" w:eastAsia="zh-TW"/>
              </w:rPr>
              <w:t xml:space="preserve"> CSSA are courts, prosecutors’ offices</w:t>
            </w:r>
            <w:r>
              <w:rPr>
                <w:rFonts w:ascii="Times New Roman" w:eastAsia="PMingLiU" w:hAnsi="Times New Roman" w:cs="Times New Roman"/>
                <w:lang w:val="en-GB" w:eastAsia="zh-TW"/>
              </w:rPr>
              <w:t>,</w:t>
            </w:r>
            <w:r w:rsidRPr="00CC26C1">
              <w:rPr>
                <w:rFonts w:ascii="Times New Roman" w:eastAsia="PMingLiU" w:hAnsi="Times New Roman" w:cs="Times New Roman"/>
                <w:lang w:val="en-GB" w:eastAsia="zh-TW"/>
              </w:rPr>
              <w:t xml:space="preserve"> and the National Security Bureau. However, there is no independent control body specific to </w:t>
            </w:r>
            <w:r>
              <w:rPr>
                <w:rFonts w:ascii="Times New Roman" w:eastAsia="PMingLiU" w:hAnsi="Times New Roman" w:cs="Times New Roman"/>
                <w:lang w:val="en-GB" w:eastAsia="zh-TW"/>
              </w:rPr>
              <w:t xml:space="preserve">the </w:t>
            </w:r>
            <w:r w:rsidRPr="00CC26C1">
              <w:rPr>
                <w:rFonts w:ascii="Times New Roman" w:eastAsia="PMingLiU" w:hAnsi="Times New Roman" w:cs="Times New Roman"/>
                <w:lang w:val="en-GB" w:eastAsia="zh-TW"/>
              </w:rPr>
              <w:t>CSSA. An independent data protection authority is being established in Taiwan (please refer to item 6 hereunder).</w:t>
            </w:r>
          </w:p>
          <w:p w14:paraId="6CCD531E" w14:textId="77777777" w:rsidR="00D66F07" w:rsidRPr="00CC26C1" w:rsidRDefault="00D66F07" w:rsidP="00D66F07">
            <w:pPr>
              <w:pStyle w:val="Listeavsnitt"/>
              <w:widowControl w:val="0"/>
              <w:numPr>
                <w:ilvl w:val="0"/>
                <w:numId w:val="47"/>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Since communication surveillance is of</w:t>
            </w:r>
            <w:r>
              <w:rPr>
                <w:rFonts w:ascii="Times New Roman" w:eastAsia="PMingLiU" w:hAnsi="Times New Roman" w:cs="Times New Roman"/>
                <w:lang w:val="en-GB" w:eastAsia="zh-TW"/>
              </w:rPr>
              <w:t xml:space="preserve"> a</w:t>
            </w:r>
            <w:r w:rsidRPr="00CC26C1">
              <w:rPr>
                <w:rFonts w:ascii="Times New Roman" w:eastAsia="PMingLiU" w:hAnsi="Times New Roman" w:cs="Times New Roman"/>
                <w:lang w:val="en-GB" w:eastAsia="zh-TW"/>
              </w:rPr>
              <w:t xml:space="preserve"> covert nature, no immediate relief is provided in the CSSA, however, </w:t>
            </w:r>
            <w:r w:rsidRPr="00CC26C1">
              <w:rPr>
                <w:rFonts w:ascii="Times New Roman" w:eastAsia="PMingLiU" w:hAnsi="Times New Roman" w:cs="Times New Roman"/>
                <w:lang w:val="en-GB" w:eastAsia="zh-TW"/>
              </w:rPr>
              <w:lastRenderedPageBreak/>
              <w:t>ex post remedy is available according to Article 19; court decisions are binding for national surveillance and intelligence services.</w:t>
            </w:r>
          </w:p>
        </w:tc>
        <w:tc>
          <w:tcPr>
            <w:tcW w:w="1701" w:type="dxa"/>
          </w:tcPr>
          <w:p w14:paraId="1BFAA74E" w14:textId="77777777" w:rsidR="00D66F07" w:rsidRPr="00CC26C1" w:rsidRDefault="00D66F07" w:rsidP="008836DB">
            <w:pPr>
              <w:jc w:val="center"/>
              <w:rPr>
                <w:rFonts w:ascii="Times New Roman" w:hAnsi="Times New Roman" w:cs="Times New Roman"/>
                <w:lang w:val="en-GB"/>
              </w:rPr>
            </w:pPr>
            <w:r w:rsidRPr="00CC26C1">
              <w:rPr>
                <w:rFonts w:ascii="Times New Roman" w:eastAsia="PMingLiU" w:hAnsi="Times New Roman" w:cs="Times New Roman"/>
                <w:lang w:val="en-GB" w:eastAsia="zh-TW"/>
              </w:rPr>
              <w:lastRenderedPageBreak/>
              <w:t>Low</w:t>
            </w:r>
          </w:p>
        </w:tc>
        <w:tc>
          <w:tcPr>
            <w:tcW w:w="1560" w:type="dxa"/>
          </w:tcPr>
          <w:p w14:paraId="79F10EA9" w14:textId="77777777" w:rsidR="00D66F07" w:rsidRPr="00CC26C1" w:rsidRDefault="00D66F07" w:rsidP="008836DB">
            <w:pPr>
              <w:rPr>
                <w:rFonts w:ascii="Times New Roman" w:hAnsi="Times New Roman" w:cs="Times New Roman"/>
                <w:lang w:val="en-GB"/>
              </w:rPr>
            </w:pPr>
          </w:p>
        </w:tc>
      </w:tr>
      <w:tr w:rsidR="00D66F07" w:rsidRPr="00CC26C1" w14:paraId="277A2E87" w14:textId="77777777" w:rsidTr="008836DB">
        <w:tc>
          <w:tcPr>
            <w:tcW w:w="562" w:type="dxa"/>
          </w:tcPr>
          <w:p w14:paraId="4CABEA68"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lastRenderedPageBreak/>
              <w:t>4</w:t>
            </w:r>
          </w:p>
        </w:tc>
        <w:tc>
          <w:tcPr>
            <w:tcW w:w="3818" w:type="dxa"/>
          </w:tcPr>
          <w:p w14:paraId="7A4C6541"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Has the Telecommunications Management Act fully replaced the Telecommunications Act in Taiwan? </w:t>
            </w:r>
          </w:p>
          <w:p w14:paraId="5FD567C5" w14:textId="77777777" w:rsidR="00D66F07" w:rsidRPr="00CC26C1" w:rsidRDefault="00D66F07" w:rsidP="008836DB">
            <w:pPr>
              <w:rPr>
                <w:rFonts w:ascii="Times New Roman" w:hAnsi="Times New Roman" w:cs="Times New Roman"/>
                <w:lang w:val="en-GB"/>
              </w:rPr>
            </w:pPr>
          </w:p>
        </w:tc>
        <w:tc>
          <w:tcPr>
            <w:tcW w:w="1285" w:type="dxa"/>
          </w:tcPr>
          <w:p w14:paraId="18FAE5D5"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t>Yes</w:t>
            </w:r>
          </w:p>
        </w:tc>
        <w:tc>
          <w:tcPr>
            <w:tcW w:w="5670" w:type="dxa"/>
          </w:tcPr>
          <w:p w14:paraId="6C4FDA1E"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The TMA entered into force on </w:t>
            </w:r>
            <w:proofErr w:type="gramStart"/>
            <w:r w:rsidRPr="00CC26C1">
              <w:rPr>
                <w:rFonts w:ascii="Times New Roman" w:hAnsi="Times New Roman" w:cs="Times New Roman"/>
                <w:lang w:val="en-GB"/>
              </w:rPr>
              <w:t>1 July 2020, and</w:t>
            </w:r>
            <w:proofErr w:type="gramEnd"/>
            <w:r w:rsidRPr="00CC26C1">
              <w:rPr>
                <w:rFonts w:ascii="Times New Roman" w:hAnsi="Times New Roman" w:cs="Times New Roman"/>
                <w:lang w:val="en-GB"/>
              </w:rPr>
              <w:t xml:space="preserve"> had a three-year transition period which ended on 30 June 2023. </w:t>
            </w:r>
            <w:r>
              <w:rPr>
                <w:rFonts w:ascii="Times New Roman" w:hAnsi="Times New Roman" w:cs="Times New Roman"/>
                <w:lang w:val="en-GB"/>
              </w:rPr>
              <w:t xml:space="preserve">The </w:t>
            </w:r>
            <w:r w:rsidRPr="00CC26C1">
              <w:rPr>
                <w:rFonts w:ascii="Times New Roman" w:hAnsi="Times New Roman" w:cs="Times New Roman"/>
                <w:lang w:val="en-GB"/>
              </w:rPr>
              <w:t xml:space="preserve">TA remains in effect but serves only as the legal basis of certain statutory fee charges and has become irrelevant to data protection </w:t>
            </w:r>
            <w:r>
              <w:rPr>
                <w:rFonts w:ascii="Times New Roman" w:hAnsi="Times New Roman" w:cs="Times New Roman"/>
                <w:lang w:val="en-GB"/>
              </w:rPr>
              <w:t>and</w:t>
            </w:r>
            <w:r w:rsidRPr="00CC26C1">
              <w:rPr>
                <w:rFonts w:ascii="Times New Roman" w:hAnsi="Times New Roman" w:cs="Times New Roman"/>
                <w:lang w:val="en-GB"/>
              </w:rPr>
              <w:t xml:space="preserve"> other regulatory matters. The TMA has fully replaced</w:t>
            </w:r>
            <w:r>
              <w:rPr>
                <w:rFonts w:ascii="Times New Roman" w:hAnsi="Times New Roman" w:cs="Times New Roman"/>
                <w:lang w:val="en-GB"/>
              </w:rPr>
              <w:t xml:space="preserve"> the</w:t>
            </w:r>
            <w:r w:rsidRPr="00CC26C1">
              <w:rPr>
                <w:rFonts w:ascii="Times New Roman" w:hAnsi="Times New Roman" w:cs="Times New Roman"/>
                <w:lang w:val="en-GB"/>
              </w:rPr>
              <w:t xml:space="preserve"> TA in this regard.</w:t>
            </w:r>
          </w:p>
        </w:tc>
        <w:tc>
          <w:tcPr>
            <w:tcW w:w="1701" w:type="dxa"/>
          </w:tcPr>
          <w:p w14:paraId="4E6FA483" w14:textId="77777777" w:rsidR="00D66F07" w:rsidRPr="00CC26C1" w:rsidRDefault="00D66F07" w:rsidP="008836DB">
            <w:pPr>
              <w:jc w:val="center"/>
              <w:rPr>
                <w:rFonts w:ascii="Times New Roman" w:hAnsi="Times New Roman" w:cs="Times New Roman"/>
                <w:lang w:val="en-GB"/>
              </w:rPr>
            </w:pPr>
            <w:r w:rsidRPr="00CC26C1">
              <w:rPr>
                <w:rFonts w:ascii="Times New Roman" w:eastAsia="PMingLiU" w:hAnsi="Times New Roman" w:cs="Times New Roman"/>
                <w:lang w:val="en-GB" w:eastAsia="zh-TW"/>
              </w:rPr>
              <w:t>N/A</w:t>
            </w:r>
          </w:p>
        </w:tc>
        <w:tc>
          <w:tcPr>
            <w:tcW w:w="1560" w:type="dxa"/>
          </w:tcPr>
          <w:p w14:paraId="2C0719EC" w14:textId="77777777" w:rsidR="00D66F07" w:rsidRPr="00CC26C1" w:rsidRDefault="00D66F07" w:rsidP="008836DB">
            <w:pPr>
              <w:rPr>
                <w:rFonts w:ascii="Times New Roman" w:hAnsi="Times New Roman" w:cs="Times New Roman"/>
                <w:lang w:val="en-GB"/>
              </w:rPr>
            </w:pPr>
          </w:p>
        </w:tc>
      </w:tr>
      <w:tr w:rsidR="00D66F07" w:rsidRPr="00CC26C1" w14:paraId="3BC0A05A" w14:textId="77777777" w:rsidTr="008836DB">
        <w:tc>
          <w:tcPr>
            <w:tcW w:w="562" w:type="dxa"/>
          </w:tcPr>
          <w:p w14:paraId="1557C8F0"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5</w:t>
            </w:r>
          </w:p>
        </w:tc>
        <w:tc>
          <w:tcPr>
            <w:tcW w:w="3818" w:type="dxa"/>
          </w:tcPr>
          <w:p w14:paraId="63C45522"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Does Google as a SaaS provider fall within the scope of Taiwanese telecom legislation? </w:t>
            </w:r>
          </w:p>
          <w:p w14:paraId="7E02F129"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Please elaborate on potential consequences for the data subjects' privacy rights. </w:t>
            </w:r>
          </w:p>
        </w:tc>
        <w:tc>
          <w:tcPr>
            <w:tcW w:w="1285" w:type="dxa"/>
          </w:tcPr>
          <w:p w14:paraId="51EA9CBE"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t>Yes</w:t>
            </w:r>
          </w:p>
        </w:tc>
        <w:tc>
          <w:tcPr>
            <w:tcW w:w="5670" w:type="dxa"/>
          </w:tcPr>
          <w:p w14:paraId="308BFFC3"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It is correct that “telecommunications services” defined in</w:t>
            </w:r>
            <w:r>
              <w:rPr>
                <w:rFonts w:ascii="Times New Roman" w:hAnsi="Times New Roman" w:cs="Times New Roman"/>
                <w:lang w:val="en-GB"/>
              </w:rPr>
              <w:t xml:space="preserve"> the</w:t>
            </w:r>
            <w:r w:rsidRPr="00CC26C1">
              <w:rPr>
                <w:rFonts w:ascii="Times New Roman" w:hAnsi="Times New Roman" w:cs="Times New Roman"/>
                <w:lang w:val="en-GB"/>
              </w:rPr>
              <w:t xml:space="preserve"> TA and TMA are limited to public communications services provided through the public switched telecommunications network (“PSTN”) and therefore Google as a SaaS provider does not fall within the scope of </w:t>
            </w:r>
            <w:r>
              <w:rPr>
                <w:rFonts w:ascii="Times New Roman" w:hAnsi="Times New Roman" w:cs="Times New Roman"/>
                <w:lang w:val="en-GB"/>
              </w:rPr>
              <w:t xml:space="preserve">the </w:t>
            </w:r>
            <w:r w:rsidRPr="00CC26C1">
              <w:rPr>
                <w:rFonts w:ascii="Times New Roman" w:hAnsi="Times New Roman" w:cs="Times New Roman"/>
                <w:lang w:val="en-GB"/>
              </w:rPr>
              <w:t>TA and TMA.</w:t>
            </w:r>
          </w:p>
        </w:tc>
        <w:tc>
          <w:tcPr>
            <w:tcW w:w="1701" w:type="dxa"/>
          </w:tcPr>
          <w:p w14:paraId="05DFB469" w14:textId="77777777" w:rsidR="00D66F07" w:rsidRPr="00CC26C1" w:rsidRDefault="00D66F07" w:rsidP="008836DB">
            <w:pPr>
              <w:jc w:val="center"/>
              <w:rPr>
                <w:rFonts w:ascii="Times New Roman" w:hAnsi="Times New Roman" w:cs="Times New Roman"/>
                <w:lang w:val="en-GB"/>
              </w:rPr>
            </w:pPr>
            <w:r w:rsidRPr="00CC26C1">
              <w:rPr>
                <w:rFonts w:ascii="Times New Roman" w:eastAsia="PMingLiU" w:hAnsi="Times New Roman" w:cs="Times New Roman"/>
                <w:lang w:val="en-GB" w:eastAsia="zh-TW"/>
              </w:rPr>
              <w:t>N/A</w:t>
            </w:r>
          </w:p>
        </w:tc>
        <w:tc>
          <w:tcPr>
            <w:tcW w:w="1560" w:type="dxa"/>
          </w:tcPr>
          <w:p w14:paraId="7218C814" w14:textId="77777777" w:rsidR="00D66F07" w:rsidRPr="00CC26C1" w:rsidRDefault="00D66F07" w:rsidP="008836DB">
            <w:pPr>
              <w:rPr>
                <w:rFonts w:ascii="Times New Roman" w:hAnsi="Times New Roman" w:cs="Times New Roman"/>
                <w:lang w:val="en-GB"/>
              </w:rPr>
            </w:pPr>
          </w:p>
        </w:tc>
      </w:tr>
      <w:tr w:rsidR="00D66F07" w:rsidRPr="00CC26C1" w14:paraId="743958F9" w14:textId="77777777" w:rsidTr="008836DB">
        <w:tc>
          <w:tcPr>
            <w:tcW w:w="562" w:type="dxa"/>
          </w:tcPr>
          <w:p w14:paraId="67D4648D"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6</w:t>
            </w:r>
          </w:p>
        </w:tc>
        <w:tc>
          <w:tcPr>
            <w:tcW w:w="3818" w:type="dxa"/>
          </w:tcPr>
          <w:p w14:paraId="5A22567A"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Are any significant changes to applicable legislation expected? </w:t>
            </w:r>
          </w:p>
          <w:p w14:paraId="725C7DAE"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If possible, please indicate when these changes will come into force. </w:t>
            </w:r>
          </w:p>
        </w:tc>
        <w:tc>
          <w:tcPr>
            <w:tcW w:w="1285" w:type="dxa"/>
          </w:tcPr>
          <w:p w14:paraId="614E639C"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t>-</w:t>
            </w:r>
          </w:p>
        </w:tc>
        <w:tc>
          <w:tcPr>
            <w:tcW w:w="5670" w:type="dxa"/>
          </w:tcPr>
          <w:p w14:paraId="17504AFD" w14:textId="77777777" w:rsidR="00D66F07" w:rsidRPr="00CC26C1" w:rsidRDefault="00D66F07" w:rsidP="00D66F07">
            <w:pPr>
              <w:pStyle w:val="Listeavsnitt"/>
              <w:widowControl w:val="0"/>
              <w:numPr>
                <w:ilvl w:val="0"/>
                <w:numId w:val="48"/>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Regarding the PDPA, there is a significant legislative change expected as follows.</w:t>
            </w:r>
          </w:p>
          <w:p w14:paraId="7E59944A" w14:textId="77777777" w:rsidR="00D66F07" w:rsidRPr="00CC26C1" w:rsidRDefault="00D66F07" w:rsidP="00D66F07">
            <w:pPr>
              <w:pStyle w:val="Listeavsnitt"/>
              <w:widowControl w:val="0"/>
              <w:numPr>
                <w:ilvl w:val="0"/>
                <w:numId w:val="48"/>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hAnsi="Times New Roman" w:cs="Times New Roman"/>
                <w:lang w:val="en-GB"/>
              </w:rPr>
              <w:t xml:space="preserve">Currently, Taiwan does not have an independent data protection authority under the PDPA. Nevertheless, a recent amendment to the PDPA, dated 16 May 2023, designates the new Personal Data Protection Commission (“PDPC”) as the independent competent authority for personal data protection (Article 1-1 of the PDPA). Article 1-1 of the PDPA has not been enacted yet, as the PDPC has not been established at the present time. The preparatory office for the PDPC was established on </w:t>
            </w:r>
            <w:r>
              <w:rPr>
                <w:rFonts w:ascii="Times New Roman" w:hAnsi="Times New Roman" w:cs="Times New Roman"/>
                <w:lang w:val="en-GB"/>
              </w:rPr>
              <w:t>5</w:t>
            </w:r>
            <w:r w:rsidRPr="00CC26C1">
              <w:rPr>
                <w:rFonts w:ascii="Times New Roman" w:hAnsi="Times New Roman" w:cs="Times New Roman"/>
                <w:lang w:val="en-GB"/>
              </w:rPr>
              <w:t xml:space="preserve"> December 2023, and recent news reports suggest that the PDPC is expected to be established by August 2025.</w:t>
            </w:r>
          </w:p>
        </w:tc>
        <w:tc>
          <w:tcPr>
            <w:tcW w:w="1701" w:type="dxa"/>
          </w:tcPr>
          <w:p w14:paraId="4D9AC68E" w14:textId="77777777" w:rsidR="00D66F07" w:rsidRPr="00CC26C1" w:rsidRDefault="00D66F07" w:rsidP="008836DB">
            <w:pPr>
              <w:jc w:val="center"/>
              <w:rPr>
                <w:rFonts w:ascii="Times New Roman" w:hAnsi="Times New Roman" w:cs="Times New Roman"/>
                <w:lang w:val="en-GB"/>
              </w:rPr>
            </w:pPr>
            <w:r w:rsidRPr="00CC26C1">
              <w:rPr>
                <w:rFonts w:ascii="Times New Roman" w:eastAsia="PMingLiU" w:hAnsi="Times New Roman" w:cs="Times New Roman"/>
                <w:lang w:val="en-GB" w:eastAsia="zh-TW"/>
              </w:rPr>
              <w:t>N/A</w:t>
            </w:r>
          </w:p>
        </w:tc>
        <w:tc>
          <w:tcPr>
            <w:tcW w:w="1560" w:type="dxa"/>
          </w:tcPr>
          <w:p w14:paraId="45C0102D" w14:textId="77777777" w:rsidR="00D66F07" w:rsidRPr="00CC26C1" w:rsidRDefault="00D66F07" w:rsidP="008836DB">
            <w:pPr>
              <w:rPr>
                <w:rFonts w:ascii="Times New Roman" w:hAnsi="Times New Roman" w:cs="Times New Roman"/>
                <w:lang w:val="en-GB"/>
              </w:rPr>
            </w:pPr>
          </w:p>
        </w:tc>
      </w:tr>
      <w:tr w:rsidR="00D66F07" w:rsidRPr="00CC26C1" w14:paraId="347AF3C5" w14:textId="77777777" w:rsidTr="008836DB">
        <w:tc>
          <w:tcPr>
            <w:tcW w:w="562" w:type="dxa"/>
          </w:tcPr>
          <w:p w14:paraId="5717455D"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lastRenderedPageBreak/>
              <w:t>7</w:t>
            </w:r>
          </w:p>
        </w:tc>
        <w:tc>
          <w:tcPr>
            <w:tcW w:w="3818" w:type="dxa"/>
          </w:tcPr>
          <w:p w14:paraId="32CCD2D5"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Is a foreign data subject able to enforce their prescribed privacy rights in the jurisdiction under prescribed law, if relevant? </w:t>
            </w:r>
          </w:p>
          <w:p w14:paraId="76C10B3E"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Please also indicate any perceived express hinderances in law, regulation or case law to such data privacy rights enforcement. </w:t>
            </w:r>
          </w:p>
        </w:tc>
        <w:tc>
          <w:tcPr>
            <w:tcW w:w="1285" w:type="dxa"/>
          </w:tcPr>
          <w:p w14:paraId="66D94FDE"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t>-</w:t>
            </w:r>
          </w:p>
        </w:tc>
        <w:tc>
          <w:tcPr>
            <w:tcW w:w="5670" w:type="dxa"/>
          </w:tcPr>
          <w:p w14:paraId="39D9EBB7" w14:textId="77777777" w:rsidR="00D66F07" w:rsidRPr="00CC26C1" w:rsidRDefault="00D66F07" w:rsidP="00D66F07">
            <w:pPr>
              <w:pStyle w:val="Listeavsnitt"/>
              <w:widowControl w:val="0"/>
              <w:numPr>
                <w:ilvl w:val="0"/>
                <w:numId w:val="49"/>
              </w:numPr>
              <w:overflowPunct w:val="0"/>
              <w:spacing w:line="360" w:lineRule="atLeast"/>
              <w:contextualSpacing w:val="0"/>
              <w:jc w:val="both"/>
              <w:rPr>
                <w:rFonts w:ascii="Times New Roman" w:eastAsia="PMingLiU" w:hAnsi="Times New Roman" w:cs="Times New Roman"/>
                <w:lang w:val="en-GB" w:eastAsia="zh-TW"/>
              </w:rPr>
            </w:pPr>
            <w:proofErr w:type="gramStart"/>
            <w:r w:rsidRPr="00CC26C1">
              <w:rPr>
                <w:rFonts w:ascii="Times New Roman" w:eastAsia="PMingLiU" w:hAnsi="Times New Roman" w:cs="Times New Roman"/>
                <w:lang w:val="en-GB" w:eastAsia="zh-TW"/>
              </w:rPr>
              <w:t>In the event that</w:t>
            </w:r>
            <w:proofErr w:type="gramEnd"/>
            <w:r w:rsidRPr="00CC26C1">
              <w:rPr>
                <w:rFonts w:ascii="Times New Roman" w:eastAsia="PMingLiU" w:hAnsi="Times New Roman" w:cs="Times New Roman"/>
                <w:lang w:val="en-GB" w:eastAsia="zh-TW"/>
              </w:rPr>
              <w:t xml:space="preserve"> a data subject, whether Taiwanese or foreign, has its personal data collected, processed, or used within the territory of Taiwan, the PDPA will apply. As such, </w:t>
            </w:r>
            <w:r w:rsidRPr="008478E3">
              <w:rPr>
                <w:rFonts w:ascii="Times New Roman" w:eastAsia="PMingLiU" w:hAnsi="Times New Roman" w:cs="Times New Roman"/>
                <w:lang w:val="en-GB" w:eastAsia="zh-TW"/>
              </w:rPr>
              <w:t>the data subject may then enforce the privacy rights provided by the PDPA in that jurisdiction.</w:t>
            </w:r>
          </w:p>
          <w:p w14:paraId="78348CD1" w14:textId="77777777" w:rsidR="00D66F07" w:rsidRPr="00CC26C1" w:rsidRDefault="00D66F07" w:rsidP="00D66F07">
            <w:pPr>
              <w:pStyle w:val="Listeavsnitt"/>
              <w:widowControl w:val="0"/>
              <w:numPr>
                <w:ilvl w:val="0"/>
                <w:numId w:val="49"/>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In addition, the prescribed privacy rights under the PDPA are as follows: (i) the right to make an inquiry </w:t>
            </w:r>
            <w:r>
              <w:rPr>
                <w:rFonts w:ascii="Times New Roman" w:eastAsia="PMingLiU" w:hAnsi="Times New Roman" w:cs="Times New Roman"/>
                <w:lang w:val="en-GB" w:eastAsia="zh-TW"/>
              </w:rPr>
              <w:t>regarding</w:t>
            </w:r>
            <w:r w:rsidRPr="00CC26C1">
              <w:rPr>
                <w:rFonts w:ascii="Times New Roman" w:eastAsia="PMingLiU" w:hAnsi="Times New Roman" w:cs="Times New Roman"/>
                <w:lang w:val="en-GB" w:eastAsia="zh-TW"/>
              </w:rPr>
              <w:t xml:space="preserve"> and to review his/her personal data; (ii) the right to request a copy of his/her personal data; (iii) the right to supplement or correct his/her personal data; (iv) the right to demand the cessation of the collection, processing, or use of his/her personal data; and (v) the right to erase his/her personal data. Article 3 of the PDPA also provides that such rights shall not be waived or limited contractually in advance, so there are no express hindrances to such data privacy rights enforcement under the PDPA.</w:t>
            </w:r>
          </w:p>
        </w:tc>
        <w:tc>
          <w:tcPr>
            <w:tcW w:w="1701" w:type="dxa"/>
          </w:tcPr>
          <w:p w14:paraId="130B16C1" w14:textId="77777777" w:rsidR="00D66F07" w:rsidRPr="00CC26C1" w:rsidRDefault="00D66F07" w:rsidP="008836DB">
            <w:pPr>
              <w:jc w:val="center"/>
              <w:rPr>
                <w:rFonts w:ascii="Times New Roman" w:hAnsi="Times New Roman" w:cs="Times New Roman"/>
                <w:lang w:val="en-GB"/>
              </w:rPr>
            </w:pPr>
            <w:r w:rsidRPr="00CC26C1">
              <w:rPr>
                <w:rFonts w:ascii="Times New Roman" w:eastAsia="PMingLiU" w:hAnsi="Times New Roman" w:cs="Times New Roman"/>
                <w:lang w:val="en-GB" w:eastAsia="zh-TW"/>
              </w:rPr>
              <w:t>N/A</w:t>
            </w:r>
          </w:p>
        </w:tc>
        <w:tc>
          <w:tcPr>
            <w:tcW w:w="1560" w:type="dxa"/>
          </w:tcPr>
          <w:p w14:paraId="2B74A216" w14:textId="77777777" w:rsidR="00D66F07" w:rsidRPr="00CC26C1" w:rsidRDefault="00D66F07" w:rsidP="008836DB">
            <w:pPr>
              <w:rPr>
                <w:rFonts w:ascii="Times New Roman" w:hAnsi="Times New Roman" w:cs="Times New Roman"/>
                <w:lang w:val="en-GB"/>
              </w:rPr>
            </w:pPr>
          </w:p>
        </w:tc>
      </w:tr>
      <w:tr w:rsidR="00D66F07" w:rsidRPr="00CC26C1" w14:paraId="009EA0C1" w14:textId="77777777" w:rsidTr="008836DB">
        <w:tc>
          <w:tcPr>
            <w:tcW w:w="562" w:type="dxa"/>
          </w:tcPr>
          <w:p w14:paraId="6BE694DF"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8</w:t>
            </w:r>
          </w:p>
        </w:tc>
        <w:tc>
          <w:tcPr>
            <w:tcW w:w="3818" w:type="dxa"/>
          </w:tcPr>
          <w:p w14:paraId="07EA13B8" w14:textId="77777777" w:rsidR="00D66F07" w:rsidRPr="00CC26C1" w:rsidRDefault="00D66F07" w:rsidP="008836DB">
            <w:pPr>
              <w:rPr>
                <w:rFonts w:ascii="Times New Roman" w:hAnsi="Times New Roman" w:cs="Times New Roman"/>
                <w:lang w:val="en-GB"/>
              </w:rPr>
            </w:pPr>
            <w:proofErr w:type="gramStart"/>
            <w:r w:rsidRPr="00CC26C1">
              <w:rPr>
                <w:rFonts w:ascii="Times New Roman" w:hAnsi="Times New Roman" w:cs="Times New Roman"/>
                <w:lang w:val="en-GB"/>
              </w:rPr>
              <w:t>Is</w:t>
            </w:r>
            <w:proofErr w:type="gramEnd"/>
            <w:r w:rsidRPr="00CC26C1">
              <w:rPr>
                <w:rFonts w:ascii="Times New Roman" w:hAnsi="Times New Roman" w:cs="Times New Roman"/>
                <w:lang w:val="en-GB"/>
              </w:rPr>
              <w:t xml:space="preserve"> there any security measures assumed to be effective for protection of data processed in Taiwan? </w:t>
            </w:r>
          </w:p>
          <w:p w14:paraId="3A03321E" w14:textId="77777777" w:rsidR="00D66F07" w:rsidRPr="00CC26C1" w:rsidRDefault="00D66F07" w:rsidP="008836DB">
            <w:pPr>
              <w:rPr>
                <w:rFonts w:ascii="Times New Roman" w:hAnsi="Times New Roman" w:cs="Times New Roman"/>
                <w:lang w:val="en-GB"/>
              </w:rPr>
            </w:pPr>
            <w:r w:rsidRPr="00CC26C1">
              <w:rPr>
                <w:rFonts w:ascii="Times New Roman" w:hAnsi="Times New Roman" w:cs="Times New Roman"/>
                <w:lang w:val="en-GB"/>
              </w:rPr>
              <w:t xml:space="preserve">Please provide a brief overview of industry standards of data security provided in the region, if available. </w:t>
            </w:r>
          </w:p>
        </w:tc>
        <w:tc>
          <w:tcPr>
            <w:tcW w:w="1285" w:type="dxa"/>
          </w:tcPr>
          <w:p w14:paraId="27A66C30" w14:textId="77777777" w:rsidR="00D66F07" w:rsidRPr="00CC26C1" w:rsidRDefault="00D66F07" w:rsidP="008836DB">
            <w:pPr>
              <w:jc w:val="center"/>
              <w:rPr>
                <w:rFonts w:ascii="Times New Roman" w:hAnsi="Times New Roman" w:cs="Times New Roman"/>
                <w:lang w:val="en-GB"/>
              </w:rPr>
            </w:pPr>
            <w:r w:rsidRPr="00CC26C1">
              <w:rPr>
                <w:rFonts w:ascii="Times New Roman" w:hAnsi="Times New Roman" w:cs="Times New Roman"/>
                <w:lang w:val="en-GB"/>
              </w:rPr>
              <w:t>-</w:t>
            </w:r>
          </w:p>
        </w:tc>
        <w:tc>
          <w:tcPr>
            <w:tcW w:w="5670" w:type="dxa"/>
          </w:tcPr>
          <w:p w14:paraId="36912543" w14:textId="77777777" w:rsidR="00D66F07" w:rsidRPr="00CC26C1" w:rsidRDefault="00D66F07" w:rsidP="00D66F07">
            <w:pPr>
              <w:pStyle w:val="Listeavsnitt"/>
              <w:widowControl w:val="0"/>
              <w:numPr>
                <w:ilvl w:val="0"/>
                <w:numId w:val="50"/>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In reference to item 2 above, the “Regulations on the Personal Data Security Maintenance and Management in Digital Economy Related Industries” (</w:t>
            </w:r>
            <w:r w:rsidRPr="00CC26C1">
              <w:rPr>
                <w:rFonts w:ascii="Times New Roman" w:eastAsia="PMingLiU" w:hAnsi="Times New Roman" w:cs="Times New Roman"/>
                <w:lang w:val="en-GB" w:eastAsia="zh-TW"/>
              </w:rPr>
              <w:t>數位經濟相關產業個人資料檔案安全維護管理辦法</w:t>
            </w:r>
            <w:r w:rsidRPr="00CC26C1">
              <w:rPr>
                <w:rFonts w:ascii="Times New Roman" w:eastAsia="PMingLiU" w:hAnsi="Times New Roman" w:cs="Times New Roman"/>
                <w:lang w:val="en-GB" w:eastAsia="zh-TW"/>
              </w:rPr>
              <w:t>) require data centres, se</w:t>
            </w:r>
            <w:r>
              <w:rPr>
                <w:rFonts w:ascii="Times New Roman" w:eastAsia="PMingLiU" w:hAnsi="Times New Roman" w:cs="Times New Roman"/>
                <w:lang w:val="en-GB" w:eastAsia="zh-TW"/>
              </w:rPr>
              <w:t>r</w:t>
            </w:r>
            <w:r w:rsidRPr="00CC26C1">
              <w:rPr>
                <w:rFonts w:ascii="Times New Roman" w:eastAsia="PMingLiU" w:hAnsi="Times New Roman" w:cs="Times New Roman"/>
                <w:lang w:val="en-GB" w:eastAsia="zh-TW"/>
              </w:rPr>
              <w:t>ver</w:t>
            </w:r>
            <w:r>
              <w:rPr>
                <w:rFonts w:ascii="Times New Roman" w:eastAsia="PMingLiU" w:hAnsi="Times New Roman" w:cs="Times New Roman"/>
                <w:lang w:val="en-GB" w:eastAsia="zh-TW"/>
              </w:rPr>
              <w:t>s</w:t>
            </w:r>
            <w:r w:rsidRPr="00CC26C1">
              <w:rPr>
                <w:rFonts w:ascii="Times New Roman" w:eastAsia="PMingLiU" w:hAnsi="Times New Roman" w:cs="Times New Roman"/>
                <w:lang w:val="en-GB" w:eastAsia="zh-TW"/>
              </w:rPr>
              <w:t>, storage service</w:t>
            </w:r>
            <w:r>
              <w:rPr>
                <w:rFonts w:ascii="Times New Roman" w:eastAsia="PMingLiU" w:hAnsi="Times New Roman" w:cs="Times New Roman"/>
                <w:lang w:val="en-GB" w:eastAsia="zh-TW"/>
              </w:rPr>
              <w:t>s,</w:t>
            </w:r>
            <w:r w:rsidRPr="00CC26C1">
              <w:rPr>
                <w:rFonts w:ascii="Times New Roman" w:eastAsia="PMingLiU" w:hAnsi="Times New Roman" w:cs="Times New Roman"/>
                <w:lang w:val="en-GB" w:eastAsia="zh-TW"/>
              </w:rPr>
              <w:t xml:space="preserve"> and relevant industries to implement security measures to safeguard personal data files. The security measures provided therein are assumed to be effective for the protection of data </w:t>
            </w:r>
            <w:r w:rsidRPr="00CC26C1">
              <w:rPr>
                <w:rFonts w:ascii="Times New Roman" w:eastAsia="PMingLiU" w:hAnsi="Times New Roman" w:cs="Times New Roman"/>
                <w:lang w:val="en-GB" w:eastAsia="zh-TW"/>
              </w:rPr>
              <w:lastRenderedPageBreak/>
              <w:t>processed in Taiwan. In addition, these regulations may apply to data centres located in Taiwan, including Google data centres storing Norwegian personal data in this regard.</w:t>
            </w:r>
          </w:p>
          <w:p w14:paraId="794F3B2D" w14:textId="77777777" w:rsidR="00D66F07" w:rsidRPr="00CC26C1" w:rsidRDefault="00D66F07" w:rsidP="00D66F07">
            <w:pPr>
              <w:pStyle w:val="Listeavsnitt"/>
              <w:widowControl w:val="0"/>
              <w:numPr>
                <w:ilvl w:val="0"/>
                <w:numId w:val="50"/>
              </w:numPr>
              <w:overflowPunct w:val="0"/>
              <w:spacing w:line="360" w:lineRule="atLeast"/>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These regulations provide an industry standard requiring data cent</w:t>
            </w:r>
            <w:r>
              <w:rPr>
                <w:rFonts w:ascii="Times New Roman" w:eastAsia="PMingLiU" w:hAnsi="Times New Roman" w:cs="Times New Roman"/>
                <w:lang w:val="en-GB" w:eastAsia="zh-TW"/>
              </w:rPr>
              <w:t>re</w:t>
            </w:r>
            <w:r w:rsidRPr="00CC26C1">
              <w:rPr>
                <w:rFonts w:ascii="Times New Roman" w:eastAsia="PMingLiU" w:hAnsi="Times New Roman" w:cs="Times New Roman"/>
                <w:lang w:val="en-GB" w:eastAsia="zh-TW"/>
              </w:rPr>
              <w:t>s and relevant industries located in Taiwan to implement proper security measures to prevent personal data from being stolen, altered, damaged, destroyed, or disclosed as follows.</w:t>
            </w:r>
          </w:p>
          <w:p w14:paraId="6F9E2442"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allocating management personnel and reasonable </w:t>
            </w:r>
            <w:proofErr w:type="gramStart"/>
            <w:r w:rsidRPr="00CC26C1">
              <w:rPr>
                <w:rFonts w:ascii="Times New Roman" w:eastAsia="PMingLiU" w:hAnsi="Times New Roman" w:cs="Times New Roman"/>
                <w:lang w:val="en-GB" w:eastAsia="zh-TW"/>
              </w:rPr>
              <w:t>resources;</w:t>
            </w:r>
            <w:proofErr w:type="gramEnd"/>
          </w:p>
          <w:p w14:paraId="20E1DC02"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defining the scope of personal </w:t>
            </w:r>
            <w:proofErr w:type="gramStart"/>
            <w:r w:rsidRPr="00CC26C1">
              <w:rPr>
                <w:rFonts w:ascii="Times New Roman" w:eastAsia="PMingLiU" w:hAnsi="Times New Roman" w:cs="Times New Roman"/>
                <w:lang w:val="en-GB" w:eastAsia="zh-TW"/>
              </w:rPr>
              <w:t>data;</w:t>
            </w:r>
            <w:proofErr w:type="gramEnd"/>
          </w:p>
          <w:p w14:paraId="13C1FF16"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establishing a mechanism of risk assessment and management of personal </w:t>
            </w:r>
            <w:proofErr w:type="gramStart"/>
            <w:r w:rsidRPr="00CC26C1">
              <w:rPr>
                <w:rFonts w:ascii="Times New Roman" w:eastAsia="PMingLiU" w:hAnsi="Times New Roman" w:cs="Times New Roman"/>
                <w:lang w:val="en-GB" w:eastAsia="zh-TW"/>
              </w:rPr>
              <w:t>data;</w:t>
            </w:r>
            <w:proofErr w:type="gramEnd"/>
          </w:p>
          <w:p w14:paraId="1463B7FA"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establishing a mechanism of preventing, giving notice of, and responding to a data </w:t>
            </w:r>
            <w:proofErr w:type="gramStart"/>
            <w:r w:rsidRPr="00CC26C1">
              <w:rPr>
                <w:rFonts w:ascii="Times New Roman" w:eastAsia="PMingLiU" w:hAnsi="Times New Roman" w:cs="Times New Roman"/>
                <w:lang w:val="en-GB" w:eastAsia="zh-TW"/>
              </w:rPr>
              <w:t>breach;</w:t>
            </w:r>
            <w:proofErr w:type="gramEnd"/>
          </w:p>
          <w:p w14:paraId="5095A226"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establishing an internal control procedure for the collection, processing, and use of personal </w:t>
            </w:r>
            <w:proofErr w:type="gramStart"/>
            <w:r w:rsidRPr="00CC26C1">
              <w:rPr>
                <w:rFonts w:ascii="Times New Roman" w:eastAsia="PMingLiU" w:hAnsi="Times New Roman" w:cs="Times New Roman"/>
                <w:lang w:val="en-GB" w:eastAsia="zh-TW"/>
              </w:rPr>
              <w:t>data;</w:t>
            </w:r>
            <w:proofErr w:type="gramEnd"/>
          </w:p>
          <w:p w14:paraId="177A6BB7"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confirming restrictions on cross-border transfers, </w:t>
            </w:r>
            <w:r>
              <w:rPr>
                <w:rFonts w:ascii="Times New Roman" w:eastAsia="PMingLiU" w:hAnsi="Times New Roman" w:cs="Times New Roman"/>
                <w:lang w:val="en-GB" w:eastAsia="zh-TW"/>
              </w:rPr>
              <w:t>providing notice to</w:t>
            </w:r>
            <w:r w:rsidRPr="00CC26C1">
              <w:rPr>
                <w:rFonts w:ascii="Times New Roman" w:eastAsia="PMingLiU" w:hAnsi="Times New Roman" w:cs="Times New Roman"/>
                <w:lang w:val="en-GB" w:eastAsia="zh-TW"/>
              </w:rPr>
              <w:t xml:space="preserve"> data subject</w:t>
            </w:r>
            <w:r>
              <w:rPr>
                <w:rFonts w:ascii="Times New Roman" w:eastAsia="PMingLiU" w:hAnsi="Times New Roman" w:cs="Times New Roman"/>
                <w:lang w:val="en-GB" w:eastAsia="zh-TW"/>
              </w:rPr>
              <w:t>s,</w:t>
            </w:r>
            <w:r w:rsidRPr="00CC26C1">
              <w:rPr>
                <w:rFonts w:ascii="Times New Roman" w:eastAsia="PMingLiU" w:hAnsi="Times New Roman" w:cs="Times New Roman"/>
                <w:lang w:val="en-GB" w:eastAsia="zh-TW"/>
              </w:rPr>
              <w:t xml:space="preserve"> and </w:t>
            </w:r>
            <w:proofErr w:type="gramStart"/>
            <w:r w:rsidRPr="00CC26C1">
              <w:rPr>
                <w:rFonts w:ascii="Times New Roman" w:eastAsia="PMingLiU" w:hAnsi="Times New Roman" w:cs="Times New Roman"/>
                <w:lang w:val="en-GB" w:eastAsia="zh-TW"/>
              </w:rPr>
              <w:t>supervising;</w:t>
            </w:r>
            <w:proofErr w:type="gramEnd"/>
          </w:p>
          <w:p w14:paraId="4E831223"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managing data security and </w:t>
            </w:r>
            <w:proofErr w:type="gramStart"/>
            <w:r w:rsidRPr="00CC26C1">
              <w:rPr>
                <w:rFonts w:ascii="Times New Roman" w:eastAsia="PMingLiU" w:hAnsi="Times New Roman" w:cs="Times New Roman"/>
                <w:lang w:val="en-GB" w:eastAsia="zh-TW"/>
              </w:rPr>
              <w:t>personnel;</w:t>
            </w:r>
            <w:proofErr w:type="gramEnd"/>
          </w:p>
          <w:p w14:paraId="155BAD92"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promoting awareness, education</w:t>
            </w:r>
            <w:r>
              <w:rPr>
                <w:rFonts w:ascii="Times New Roman" w:eastAsia="PMingLiU" w:hAnsi="Times New Roman" w:cs="Times New Roman"/>
                <w:lang w:val="en-GB" w:eastAsia="zh-TW"/>
              </w:rPr>
              <w:t>,</w:t>
            </w:r>
            <w:r w:rsidRPr="00CC26C1">
              <w:rPr>
                <w:rFonts w:ascii="Times New Roman" w:eastAsia="PMingLiU" w:hAnsi="Times New Roman" w:cs="Times New Roman"/>
                <w:lang w:val="en-GB" w:eastAsia="zh-TW"/>
              </w:rPr>
              <w:t xml:space="preserve"> and </w:t>
            </w:r>
            <w:proofErr w:type="gramStart"/>
            <w:r w:rsidRPr="00CC26C1">
              <w:rPr>
                <w:rFonts w:ascii="Times New Roman" w:eastAsia="PMingLiU" w:hAnsi="Times New Roman" w:cs="Times New Roman"/>
                <w:lang w:val="en-GB" w:eastAsia="zh-TW"/>
              </w:rPr>
              <w:t>training;</w:t>
            </w:r>
            <w:proofErr w:type="gramEnd"/>
          </w:p>
          <w:p w14:paraId="791E803E"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managing facility </w:t>
            </w:r>
            <w:proofErr w:type="gramStart"/>
            <w:r w:rsidRPr="00CC26C1">
              <w:rPr>
                <w:rFonts w:ascii="Times New Roman" w:eastAsia="PMingLiU" w:hAnsi="Times New Roman" w:cs="Times New Roman"/>
                <w:lang w:val="en-GB" w:eastAsia="zh-TW"/>
              </w:rPr>
              <w:t>security;</w:t>
            </w:r>
            <w:proofErr w:type="gramEnd"/>
          </w:p>
          <w:p w14:paraId="222AD24C"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 xml:space="preserve">establishing an audit mechanism of data </w:t>
            </w:r>
            <w:proofErr w:type="gramStart"/>
            <w:r w:rsidRPr="00CC26C1">
              <w:rPr>
                <w:rFonts w:ascii="Times New Roman" w:eastAsia="PMingLiU" w:hAnsi="Times New Roman" w:cs="Times New Roman"/>
                <w:lang w:val="en-GB" w:eastAsia="zh-TW"/>
              </w:rPr>
              <w:t>security;</w:t>
            </w:r>
            <w:proofErr w:type="gramEnd"/>
          </w:p>
          <w:p w14:paraId="5FD2662E"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keeping records, log files</w:t>
            </w:r>
            <w:r>
              <w:rPr>
                <w:rFonts w:ascii="Times New Roman" w:eastAsia="PMingLiU" w:hAnsi="Times New Roman" w:cs="Times New Roman"/>
                <w:lang w:val="en-GB" w:eastAsia="zh-TW"/>
              </w:rPr>
              <w:t>,</w:t>
            </w:r>
            <w:r w:rsidRPr="00CC26C1">
              <w:rPr>
                <w:rFonts w:ascii="Times New Roman" w:eastAsia="PMingLiU" w:hAnsi="Times New Roman" w:cs="Times New Roman"/>
                <w:lang w:val="en-GB" w:eastAsia="zh-TW"/>
              </w:rPr>
              <w:t xml:space="preserve"> and relevant evidence; </w:t>
            </w:r>
            <w:r w:rsidRPr="00CC26C1">
              <w:rPr>
                <w:rFonts w:ascii="Times New Roman" w:eastAsia="PMingLiU" w:hAnsi="Times New Roman" w:cs="Times New Roman"/>
                <w:lang w:val="en-GB" w:eastAsia="zh-TW"/>
              </w:rPr>
              <w:lastRenderedPageBreak/>
              <w:t>and</w:t>
            </w:r>
          </w:p>
          <w:p w14:paraId="25A6D1DF" w14:textId="77777777" w:rsidR="00D66F07" w:rsidRPr="00CC26C1" w:rsidRDefault="00D66F07" w:rsidP="00D66F07">
            <w:pPr>
              <w:pStyle w:val="Listeavsnitt"/>
              <w:widowControl w:val="0"/>
              <w:numPr>
                <w:ilvl w:val="0"/>
                <w:numId w:val="44"/>
              </w:numPr>
              <w:overflowPunct w:val="0"/>
              <w:spacing w:line="360" w:lineRule="atLeast"/>
              <w:ind w:left="880" w:hanging="426"/>
              <w:contextualSpacing w:val="0"/>
              <w:jc w:val="both"/>
              <w:rPr>
                <w:rFonts w:ascii="Times New Roman" w:eastAsia="PMingLiU" w:hAnsi="Times New Roman" w:cs="Times New Roman"/>
                <w:lang w:val="en-GB" w:eastAsia="zh-TW"/>
              </w:rPr>
            </w:pPr>
            <w:r w:rsidRPr="00CC26C1">
              <w:rPr>
                <w:rFonts w:ascii="Times New Roman" w:eastAsia="PMingLiU" w:hAnsi="Times New Roman" w:cs="Times New Roman"/>
                <w:lang w:val="en-GB" w:eastAsia="zh-TW"/>
              </w:rPr>
              <w:t>implementing integrated and persistent improvements on the security and maintenance of personal data.</w:t>
            </w:r>
          </w:p>
        </w:tc>
        <w:tc>
          <w:tcPr>
            <w:tcW w:w="1701" w:type="dxa"/>
          </w:tcPr>
          <w:p w14:paraId="0BCE25B7" w14:textId="77777777" w:rsidR="00D66F07" w:rsidRPr="00CC26C1" w:rsidRDefault="00D66F07" w:rsidP="008836DB">
            <w:pPr>
              <w:jc w:val="center"/>
              <w:rPr>
                <w:rFonts w:ascii="Times New Roman" w:hAnsi="Times New Roman" w:cs="Times New Roman"/>
                <w:lang w:val="en-GB"/>
              </w:rPr>
            </w:pPr>
            <w:r w:rsidRPr="00CC26C1">
              <w:rPr>
                <w:rFonts w:ascii="Times New Roman" w:eastAsia="PMingLiU" w:hAnsi="Times New Roman" w:cs="Times New Roman"/>
                <w:lang w:val="en-GB" w:eastAsia="zh-TW"/>
              </w:rPr>
              <w:lastRenderedPageBreak/>
              <w:t>N/A</w:t>
            </w:r>
          </w:p>
        </w:tc>
        <w:tc>
          <w:tcPr>
            <w:tcW w:w="1560" w:type="dxa"/>
          </w:tcPr>
          <w:p w14:paraId="7E899ED0" w14:textId="77777777" w:rsidR="00D66F07" w:rsidRPr="00CC26C1" w:rsidRDefault="00D66F07" w:rsidP="008836DB">
            <w:pPr>
              <w:rPr>
                <w:rFonts w:ascii="Times New Roman" w:hAnsi="Times New Roman" w:cs="Times New Roman"/>
                <w:lang w:val="en-GB"/>
              </w:rPr>
            </w:pPr>
          </w:p>
        </w:tc>
      </w:tr>
    </w:tbl>
    <w:p w14:paraId="0BBB85E3" w14:textId="54E966D3" w:rsidR="00D66F07" w:rsidRPr="00FF3E35" w:rsidRDefault="00D66F07" w:rsidP="00FF3E35"/>
    <w:sectPr w:rsidR="00D66F07" w:rsidRPr="00FF3E35" w:rsidSect="00D66F07">
      <w:pgSz w:w="16838" w:h="11906" w:orient="landscape"/>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247F3" w14:textId="77777777" w:rsidR="0014239A" w:rsidRPr="00EE32B6" w:rsidRDefault="0014239A" w:rsidP="00F57C3D">
      <w:pPr>
        <w:spacing w:after="0" w:line="240" w:lineRule="auto"/>
      </w:pPr>
      <w:r w:rsidRPr="00EE32B6">
        <w:separator/>
      </w:r>
    </w:p>
  </w:endnote>
  <w:endnote w:type="continuationSeparator" w:id="0">
    <w:p w14:paraId="0C1EF75A" w14:textId="77777777" w:rsidR="0014239A" w:rsidRPr="00EE32B6" w:rsidRDefault="0014239A" w:rsidP="00F57C3D">
      <w:pPr>
        <w:spacing w:after="0" w:line="240" w:lineRule="auto"/>
      </w:pPr>
      <w:r w:rsidRPr="00EE32B6">
        <w:continuationSeparator/>
      </w:r>
    </w:p>
  </w:endnote>
  <w:endnote w:type="continuationNotice" w:id="1">
    <w:p w14:paraId="00C38443" w14:textId="77777777" w:rsidR="0014239A" w:rsidRPr="00EE32B6" w:rsidRDefault="001423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7120679"/>
      <w:docPartObj>
        <w:docPartGallery w:val="Page Numbers (Bottom of Page)"/>
        <w:docPartUnique/>
      </w:docPartObj>
    </w:sdtPr>
    <w:sdtEndPr/>
    <w:sdtContent>
      <w:p w14:paraId="4D8BAF6B" w14:textId="359F53EF" w:rsidR="00D66F07" w:rsidRDefault="00D66F07">
        <w:pPr>
          <w:pStyle w:val="Bunntekst"/>
          <w:jc w:val="right"/>
        </w:pPr>
        <w:r>
          <w:fldChar w:fldCharType="begin"/>
        </w:r>
        <w:r>
          <w:instrText>PAGE   \* MERGEFORMAT</w:instrText>
        </w:r>
        <w:r>
          <w:fldChar w:fldCharType="separate"/>
        </w:r>
        <w:r>
          <w:t>2</w:t>
        </w:r>
        <w:r>
          <w:fldChar w:fldCharType="end"/>
        </w:r>
      </w:p>
    </w:sdtContent>
  </w:sdt>
  <w:p w14:paraId="14E250ED" w14:textId="77777777" w:rsidR="00D66F07" w:rsidRDefault="00D66F0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A67091" w14:textId="77777777" w:rsidR="0014239A" w:rsidRPr="00EE32B6" w:rsidRDefault="0014239A" w:rsidP="00F57C3D">
      <w:pPr>
        <w:spacing w:after="0" w:line="240" w:lineRule="auto"/>
      </w:pPr>
      <w:r w:rsidRPr="00EE32B6">
        <w:separator/>
      </w:r>
    </w:p>
  </w:footnote>
  <w:footnote w:type="continuationSeparator" w:id="0">
    <w:p w14:paraId="1102BFDE" w14:textId="77777777" w:rsidR="0014239A" w:rsidRPr="00EE32B6" w:rsidRDefault="0014239A" w:rsidP="00F57C3D">
      <w:pPr>
        <w:spacing w:after="0" w:line="240" w:lineRule="auto"/>
      </w:pPr>
      <w:r w:rsidRPr="00EE32B6">
        <w:continuationSeparator/>
      </w:r>
    </w:p>
  </w:footnote>
  <w:footnote w:type="continuationNotice" w:id="1">
    <w:p w14:paraId="31FEC972" w14:textId="77777777" w:rsidR="0014239A" w:rsidRPr="00EE32B6" w:rsidRDefault="0014239A">
      <w:pPr>
        <w:spacing w:after="0" w:line="240" w:lineRule="auto"/>
      </w:pPr>
    </w:p>
  </w:footnote>
  <w:footnote w:id="2">
    <w:p w14:paraId="00252D08" w14:textId="76E73A07" w:rsidR="00DE58DA" w:rsidRDefault="00DE58DA">
      <w:pPr>
        <w:pStyle w:val="Fotnotetekst"/>
      </w:pPr>
      <w:r>
        <w:rPr>
          <w:rStyle w:val="Fotnotereferanse"/>
        </w:rPr>
        <w:footnoteRef/>
      </w:r>
      <w:r>
        <w:t xml:space="preserve"> </w:t>
      </w:r>
      <w:r w:rsidRPr="00DE58DA">
        <w:t>https://www.dataguidance.com/</w:t>
      </w:r>
    </w:p>
  </w:footnote>
  <w:footnote w:id="3">
    <w:p w14:paraId="7851BCF9" w14:textId="3196BF8D" w:rsidR="00DE58DA" w:rsidRDefault="00DE58DA">
      <w:pPr>
        <w:pStyle w:val="Fotnotetekst"/>
      </w:pPr>
      <w:r>
        <w:rPr>
          <w:rStyle w:val="Fotnotereferanse"/>
        </w:rPr>
        <w:footnoteRef/>
      </w:r>
      <w:r>
        <w:t xml:space="preserve"> </w:t>
      </w:r>
      <w:hyperlink r:id="rId1" w:history="1">
        <w:r w:rsidRPr="00FA1007">
          <w:rPr>
            <w:rStyle w:val="Hyperkobling"/>
            <w:lang w:val="en-GB"/>
          </w:rPr>
          <w:t>https://transparency.tahr.org.tw/TITR_Report_2015_en.pdf</w:t>
        </w:r>
      </w:hyperlink>
    </w:p>
  </w:footnote>
  <w:footnote w:id="4">
    <w:p w14:paraId="120BDC0C" w14:textId="373789B4" w:rsidR="00F57C3D" w:rsidRPr="007F7FB4" w:rsidRDefault="00F57C3D" w:rsidP="00F57C3D">
      <w:pPr>
        <w:pStyle w:val="Fotnotetekst"/>
        <w:rPr>
          <w:lang w:val="en-GB"/>
        </w:rPr>
      </w:pPr>
      <w:r w:rsidRPr="00EE32B6">
        <w:rPr>
          <w:rStyle w:val="Fotnotereferanse"/>
        </w:rPr>
        <w:footnoteRef/>
      </w:r>
      <w:r w:rsidRPr="007F7FB4">
        <w:rPr>
          <w:lang w:val="en-GB"/>
        </w:rPr>
        <w:t xml:space="preserve"> </w:t>
      </w:r>
      <w:hyperlink r:id="rId2" w:history="1">
        <w:r w:rsidR="006B5568" w:rsidRPr="007F7FB4">
          <w:rPr>
            <w:rStyle w:val="Hyperkobling"/>
            <w:lang w:val="en-GB"/>
          </w:rPr>
          <w:t>https://law.moj.gov.tw/Eng/LawClass/LawAll.aspx?PCode=I0050021</w:t>
        </w:r>
      </w:hyperlink>
      <w:r w:rsidRPr="007F7FB4">
        <w:rPr>
          <w:lang w:val="en-GB"/>
        </w:rPr>
        <w:t xml:space="preserve">, </w:t>
      </w:r>
      <w:r w:rsidRPr="007F7FB4">
        <w:rPr>
          <w:lang w:val="en-GB"/>
        </w:rPr>
        <w:t>artikkel 1</w:t>
      </w:r>
    </w:p>
  </w:footnote>
  <w:footnote w:id="5">
    <w:p w14:paraId="374E2DDB" w14:textId="42B46906" w:rsidR="00D93C2A" w:rsidRDefault="00D93C2A">
      <w:pPr>
        <w:pStyle w:val="Fotnotetekst"/>
      </w:pPr>
      <w:r>
        <w:rPr>
          <w:rStyle w:val="Fotnotereferanse"/>
        </w:rPr>
        <w:footnoteRef/>
      </w:r>
      <w:r>
        <w:t xml:space="preserve"> </w:t>
      </w:r>
      <w:r w:rsidR="009746B3">
        <w:t>Ibid, artikkel 51 paragraf 2</w:t>
      </w:r>
    </w:p>
  </w:footnote>
  <w:footnote w:id="6">
    <w:p w14:paraId="6C057294" w14:textId="77777777" w:rsidR="00F57C3D" w:rsidRPr="00EE32B6" w:rsidRDefault="00F57C3D" w:rsidP="00F57C3D">
      <w:pPr>
        <w:pStyle w:val="Fotnotetekst"/>
      </w:pPr>
      <w:r w:rsidRPr="00EE32B6">
        <w:rPr>
          <w:rStyle w:val="Fotnotereferanse"/>
        </w:rPr>
        <w:footnoteRef/>
      </w:r>
      <w:r w:rsidRPr="00EE32B6">
        <w:t xml:space="preserve"> </w:t>
      </w:r>
      <w:hyperlink r:id="rId3" w:history="1">
        <w:r w:rsidRPr="00EE32B6">
          <w:rPr>
            <w:rStyle w:val="Hyperkobling"/>
          </w:rPr>
          <w:t>https://law.moj.gov.tw/Eng/LawClass/LawAll.aspx?PCode=I0050021</w:t>
        </w:r>
      </w:hyperlink>
      <w:r w:rsidRPr="00EE32B6">
        <w:t>, se nevnte artikler</w:t>
      </w:r>
    </w:p>
  </w:footnote>
  <w:footnote w:id="7">
    <w:p w14:paraId="66494BD7" w14:textId="58B9FFB6" w:rsidR="00FF214C" w:rsidRPr="00EE32B6" w:rsidRDefault="00FF214C">
      <w:pPr>
        <w:pStyle w:val="Fotnotetekst"/>
      </w:pPr>
      <w:r w:rsidRPr="00EE32B6">
        <w:rPr>
          <w:rStyle w:val="Fotnotereferanse"/>
        </w:rPr>
        <w:footnoteRef/>
      </w:r>
      <w:r w:rsidRPr="00EE32B6">
        <w:t xml:space="preserve"> </w:t>
      </w:r>
      <w:r w:rsidR="00EB5590" w:rsidRPr="00EE32B6">
        <w:t>For prinsipper og rettigheter s</w:t>
      </w:r>
      <w:r w:rsidRPr="00EE32B6">
        <w:t>e artiklene</w:t>
      </w:r>
      <w:r w:rsidR="00540470" w:rsidRPr="00EE32B6">
        <w:t xml:space="preserve"> 3,</w:t>
      </w:r>
      <w:r w:rsidRPr="00EE32B6">
        <w:t xml:space="preserve"> 5</w:t>
      </w:r>
      <w:r w:rsidR="00540470" w:rsidRPr="00EE32B6">
        <w:t>, 6, 8, 9,</w:t>
      </w:r>
      <w:r w:rsidR="00EB5590" w:rsidRPr="00EE32B6">
        <w:t xml:space="preserve"> 10,</w:t>
      </w:r>
      <w:r w:rsidR="00540470" w:rsidRPr="00EE32B6">
        <w:t xml:space="preserve"> 11</w:t>
      </w:r>
      <w:r w:rsidR="00EB5590" w:rsidRPr="00EE32B6">
        <w:t>,</w:t>
      </w:r>
      <w:r w:rsidR="00540470" w:rsidRPr="00EE32B6">
        <w:t xml:space="preserve"> 18</w:t>
      </w:r>
      <w:r w:rsidR="00EB5590" w:rsidRPr="00EE32B6">
        <w:t xml:space="preserve"> og 19</w:t>
      </w:r>
      <w:r w:rsidR="00540470" w:rsidRPr="00EE32B6">
        <w:t>.</w:t>
      </w:r>
    </w:p>
  </w:footnote>
  <w:footnote w:id="8">
    <w:p w14:paraId="799B98E3" w14:textId="77777777" w:rsidR="00E80A71" w:rsidRPr="00AA16A5" w:rsidRDefault="00E80A71" w:rsidP="00E80A71">
      <w:pPr>
        <w:pStyle w:val="Fotnotetekst"/>
        <w:rPr>
          <w:lang w:val="en-GB"/>
        </w:rPr>
      </w:pPr>
      <w:r w:rsidRPr="00EE32B6">
        <w:rPr>
          <w:rStyle w:val="Fotnotereferanse"/>
        </w:rPr>
        <w:footnoteRef/>
      </w:r>
      <w:r w:rsidRPr="00AA16A5">
        <w:rPr>
          <w:lang w:val="en-GB"/>
        </w:rPr>
        <w:t xml:space="preserve"> </w:t>
      </w:r>
      <w:hyperlink r:id="rId4" w:history="1">
        <w:r w:rsidRPr="00AA16A5">
          <w:rPr>
            <w:rStyle w:val="Hyperkobling"/>
            <w:lang w:val="en-GB"/>
          </w:rPr>
          <w:t xml:space="preserve">Taiwan - Data Protection Overview | Guidance Note | </w:t>
        </w:r>
        <w:r w:rsidRPr="00AA16A5">
          <w:rPr>
            <w:rStyle w:val="Hyperkobling"/>
            <w:lang w:val="en-GB"/>
          </w:rPr>
          <w:t>DataGuidance</w:t>
        </w:r>
      </w:hyperlink>
      <w:r w:rsidRPr="00AA16A5">
        <w:rPr>
          <w:lang w:val="en-GB"/>
        </w:rPr>
        <w:t>, punkt 1.1, 3.1</w:t>
      </w:r>
    </w:p>
  </w:footnote>
  <w:footnote w:id="9">
    <w:p w14:paraId="46B29A1C" w14:textId="77777777" w:rsidR="001C56E5" w:rsidRPr="00AA16A5" w:rsidRDefault="001C56E5" w:rsidP="001C56E5">
      <w:pPr>
        <w:pStyle w:val="Fotnotetekst"/>
        <w:rPr>
          <w:lang w:val="en-GB"/>
        </w:rPr>
      </w:pPr>
      <w:r w:rsidRPr="00EE32B6">
        <w:rPr>
          <w:rStyle w:val="Fotnotereferanse"/>
        </w:rPr>
        <w:footnoteRef/>
      </w:r>
      <w:r w:rsidRPr="00AA16A5">
        <w:rPr>
          <w:lang w:val="en-GB"/>
        </w:rPr>
        <w:t xml:space="preserve"> </w:t>
      </w:r>
      <w:hyperlink r:id="rId5" w:history="1">
        <w:r w:rsidRPr="00AA16A5">
          <w:rPr>
            <w:rStyle w:val="Hyperkobling"/>
            <w:lang w:val="en-GB"/>
          </w:rPr>
          <w:t xml:space="preserve">Taiwan - Data Protection Overview | Guidance Note | </w:t>
        </w:r>
        <w:r w:rsidRPr="00AA16A5">
          <w:rPr>
            <w:rStyle w:val="Hyperkobling"/>
            <w:lang w:val="en-GB"/>
          </w:rPr>
          <w:t>DataGuidance</w:t>
        </w:r>
      </w:hyperlink>
      <w:r w:rsidRPr="00AA16A5">
        <w:rPr>
          <w:lang w:val="en-GB"/>
        </w:rPr>
        <w:t>, se punkt 1.1</w:t>
      </w:r>
    </w:p>
  </w:footnote>
  <w:footnote w:id="10">
    <w:p w14:paraId="4CCEEDC0" w14:textId="77777777" w:rsidR="001C56E5" w:rsidRPr="00EE32B6" w:rsidRDefault="001C56E5" w:rsidP="001C56E5">
      <w:pPr>
        <w:pStyle w:val="Fotnotetekst"/>
      </w:pPr>
      <w:r w:rsidRPr="00EE32B6">
        <w:rPr>
          <w:rStyle w:val="Fotnotereferanse"/>
        </w:rPr>
        <w:footnoteRef/>
      </w:r>
      <w:r w:rsidRPr="00EE32B6">
        <w:t xml:space="preserve"> Se note 5</w:t>
      </w:r>
    </w:p>
  </w:footnote>
  <w:footnote w:id="11">
    <w:p w14:paraId="3983C6D3" w14:textId="77777777" w:rsidR="001C56E5" w:rsidRPr="00EE32B6" w:rsidRDefault="001C56E5" w:rsidP="001C56E5">
      <w:pPr>
        <w:pStyle w:val="Fotnotetekst"/>
      </w:pPr>
      <w:r w:rsidRPr="00EE32B6">
        <w:rPr>
          <w:rStyle w:val="Fotnotereferanse"/>
        </w:rPr>
        <w:footnoteRef/>
      </w:r>
      <w:r w:rsidRPr="00EE32B6">
        <w:t xml:space="preserve"> Se note 5</w:t>
      </w:r>
    </w:p>
  </w:footnote>
  <w:footnote w:id="12">
    <w:p w14:paraId="772BDB1D" w14:textId="0AD9C0E4" w:rsidR="00F57C3D" w:rsidRPr="00EE32B6" w:rsidRDefault="00F57C3D" w:rsidP="00F57C3D">
      <w:pPr>
        <w:pStyle w:val="Fotnotetekst"/>
      </w:pPr>
      <w:r w:rsidRPr="00EE32B6">
        <w:rPr>
          <w:rStyle w:val="Fotnotereferanse"/>
        </w:rPr>
        <w:footnoteRef/>
      </w:r>
      <w:r w:rsidRPr="00EE32B6">
        <w:t xml:space="preserve"> Se note 6, se særlig artikkel 5 og artikkel 6</w:t>
      </w:r>
      <w:r w:rsidR="00AA4AC0">
        <w:t>.</w:t>
      </w:r>
    </w:p>
  </w:footnote>
  <w:footnote w:id="13">
    <w:p w14:paraId="6881CFC2" w14:textId="44BC6193" w:rsidR="00F57C3D" w:rsidRPr="00EE32B6" w:rsidRDefault="00F57C3D" w:rsidP="00F57C3D">
      <w:pPr>
        <w:pStyle w:val="Fotnotetekst"/>
      </w:pPr>
      <w:r w:rsidRPr="00EE32B6">
        <w:rPr>
          <w:rStyle w:val="Fotnotereferanse"/>
        </w:rPr>
        <w:footnoteRef/>
      </w:r>
      <w:r w:rsidRPr="00EE32B6">
        <w:t xml:space="preserve"> </w:t>
      </w:r>
      <w:hyperlink r:id="rId6" w:history="1">
        <w:r w:rsidRPr="00EE32B6">
          <w:rPr>
            <w:rStyle w:val="Hyperkobling"/>
          </w:rPr>
          <w:t>https://www.leeandli.com/EN/NewslettersDetail/6496.htm</w:t>
        </w:r>
      </w:hyperlink>
      <w:r w:rsidRPr="00EE32B6">
        <w:t xml:space="preserve"> </w:t>
      </w:r>
      <w:r w:rsidR="00C71CE5" w:rsidRPr="00EE32B6">
        <w:t xml:space="preserve">og </w:t>
      </w:r>
      <w:hyperlink r:id="rId7" w:history="1">
        <w:r w:rsidR="004B3901" w:rsidRPr="00EE32B6">
          <w:rPr>
            <w:rStyle w:val="Hyperkobling"/>
          </w:rPr>
          <w:t>https://freedomhouse.org/country/taiwan/freedom-net/2021</w:t>
        </w:r>
      </w:hyperlink>
      <w:r w:rsidR="004B3901" w:rsidRPr="00EE32B6">
        <w:t xml:space="preserve"> om at TMA erstatter TA</w:t>
      </w:r>
      <w:r w:rsidR="00AA4AC0">
        <w:t>.</w:t>
      </w:r>
    </w:p>
  </w:footnote>
  <w:footnote w:id="14">
    <w:p w14:paraId="570C38CA" w14:textId="229CFFF7" w:rsidR="00F57C3D" w:rsidRPr="005B7B7D" w:rsidRDefault="00F57C3D" w:rsidP="00F57C3D">
      <w:pPr>
        <w:pStyle w:val="Fotnotetekst"/>
        <w:rPr>
          <w:lang w:val="en-GB"/>
        </w:rPr>
      </w:pPr>
      <w:r w:rsidRPr="00EE32B6">
        <w:rPr>
          <w:rStyle w:val="Fotnotereferanse"/>
        </w:rPr>
        <w:footnoteRef/>
      </w:r>
      <w:r w:rsidRPr="005B7B7D">
        <w:rPr>
          <w:lang w:val="en-GB"/>
        </w:rPr>
        <w:t xml:space="preserve"> </w:t>
      </w:r>
      <w:hyperlink r:id="rId8" w:history="1">
        <w:r w:rsidRPr="005B7B7D">
          <w:rPr>
            <w:rStyle w:val="Hyperkobling"/>
            <w:lang w:val="en-GB"/>
          </w:rPr>
          <w:t>https://law.moj.gov.tw/ENG/LawClass/LawAll.aspx?pcode=K0060001</w:t>
        </w:r>
      </w:hyperlink>
      <w:r w:rsidRPr="005B7B7D">
        <w:rPr>
          <w:lang w:val="en-GB"/>
        </w:rPr>
        <w:t>, Article 1</w:t>
      </w:r>
      <w:r w:rsidR="00AA4AC0">
        <w:rPr>
          <w:lang w:val="en-GB"/>
        </w:rPr>
        <w:t>.</w:t>
      </w:r>
    </w:p>
  </w:footnote>
  <w:footnote w:id="15">
    <w:p w14:paraId="0AEB8C21" w14:textId="7BAB0918" w:rsidR="00F57C3D" w:rsidRPr="00EE32B6" w:rsidRDefault="00F57C3D" w:rsidP="00F57C3D">
      <w:pPr>
        <w:pStyle w:val="Fotnotetekst"/>
      </w:pPr>
      <w:r w:rsidRPr="00EE32B6">
        <w:rPr>
          <w:rStyle w:val="Fotnotereferanse"/>
        </w:rPr>
        <w:footnoteRef/>
      </w:r>
      <w:r w:rsidRPr="005B7B7D">
        <w:rPr>
          <w:lang w:val="en-GB"/>
        </w:rPr>
        <w:t xml:space="preserve"> Se «Eyes on the Road Program in Taiwan―Information Privacy issues under the Taiwan Personal Data Protection Act, 31 J. Marshall J. Info. Tech. &amp; Privacy L. 145» (2015), John Marshall Journal of Information Technology and Privacy Law er </w:t>
      </w:r>
      <w:r w:rsidRPr="005B7B7D">
        <w:rPr>
          <w:lang w:val="en-GB"/>
        </w:rPr>
        <w:t xml:space="preserve">en lovgjennomgang publisert av en studentgruppe ved John Marshall Law School. </w:t>
      </w:r>
      <w:r w:rsidRPr="00EE32B6">
        <w:t xml:space="preserve">Publikasjonene dekker internasjonal informasjonsteknologi og personvernlovgivning. </w:t>
      </w:r>
      <w:hyperlink r:id="rId9" w:history="1">
        <w:r w:rsidRPr="00EE32B6">
          <w:rPr>
            <w:rStyle w:val="Hyperkobling"/>
          </w:rPr>
          <w:t>https://repository.law.uic.edu/cgi/viewcontent.cgi?article=1758&amp;context=jitpl</w:t>
        </w:r>
      </w:hyperlink>
      <w:r w:rsidRPr="00EE32B6">
        <w:t>, s</w:t>
      </w:r>
      <w:r w:rsidR="00AA4AC0">
        <w:t xml:space="preserve">ide </w:t>
      </w:r>
      <w:r w:rsidRPr="00EE32B6">
        <w:t>171</w:t>
      </w:r>
      <w:r w:rsidR="00AA4AC0">
        <w:t>.</w:t>
      </w:r>
    </w:p>
    <w:p w14:paraId="096B934D" w14:textId="77777777" w:rsidR="00F57C3D" w:rsidRPr="00EE32B6" w:rsidRDefault="00F57C3D" w:rsidP="00F57C3D">
      <w:pPr>
        <w:pStyle w:val="Fotnotetekst"/>
      </w:pPr>
    </w:p>
  </w:footnote>
  <w:footnote w:id="16">
    <w:p w14:paraId="4735D508" w14:textId="77777777" w:rsidR="0034786D" w:rsidRDefault="0034786D" w:rsidP="0034786D">
      <w:pPr>
        <w:pStyle w:val="Fotnotetekst"/>
      </w:pPr>
      <w:r>
        <w:rPr>
          <w:rStyle w:val="Fotnotereferanse"/>
        </w:rPr>
        <w:footnoteRef/>
      </w:r>
      <w:r>
        <w:t xml:space="preserve"> </w:t>
      </w:r>
      <w:hyperlink r:id="rId10" w:history="1">
        <w:r w:rsidRPr="00406EDB">
          <w:rPr>
            <w:rStyle w:val="Hyperkobling"/>
          </w:rPr>
          <w:t>https://www.edpb.europa.eu/system/files/2021-06/edpb_recommendations_202001vo.2.0_supplementarymeasurestransferstools_en.pdf</w:t>
        </w:r>
      </w:hyperlink>
      <w:r>
        <w:t xml:space="preserve"> </w:t>
      </w:r>
    </w:p>
  </w:footnote>
  <w:footnote w:id="17">
    <w:p w14:paraId="5F2C7381" w14:textId="77777777" w:rsidR="006C74D2" w:rsidRPr="009137B4" w:rsidRDefault="006C74D2" w:rsidP="006C74D2">
      <w:pPr>
        <w:pStyle w:val="Fotnotetekst"/>
        <w:rPr>
          <w:lang w:val="en-GB"/>
        </w:rPr>
      </w:pPr>
      <w:r w:rsidRPr="00EE32B6">
        <w:rPr>
          <w:rStyle w:val="Fotnotereferanse"/>
        </w:rPr>
        <w:footnoteRef/>
      </w:r>
      <w:r w:rsidRPr="009137B4">
        <w:rPr>
          <w:lang w:val="en-GB"/>
        </w:rPr>
        <w:t xml:space="preserve"> European Essential Guarantees. </w:t>
      </w:r>
      <w:hyperlink r:id="rId11" w:history="1">
        <w:r w:rsidRPr="009137B4">
          <w:rPr>
            <w:rStyle w:val="Hyperkobling"/>
            <w:lang w:val="en-GB"/>
          </w:rPr>
          <w:t>https://www.edpb.europa.eu/sites/default/files/files/file1/edpb_recommendations_202002_europeanessentialguaranteessurveillance_en.pdf</w:t>
        </w:r>
      </w:hyperlink>
    </w:p>
  </w:footnote>
  <w:footnote w:id="18">
    <w:p w14:paraId="5B596E8C" w14:textId="1A6A8832" w:rsidR="00377015" w:rsidRPr="00EE32B6" w:rsidRDefault="00377015">
      <w:pPr>
        <w:pStyle w:val="Fotnotetekst"/>
      </w:pPr>
      <w:r w:rsidRPr="00EE32B6">
        <w:rPr>
          <w:rStyle w:val="Fotnotereferanse"/>
        </w:rPr>
        <w:footnoteRef/>
      </w:r>
      <w:r w:rsidRPr="00EE32B6">
        <w:t xml:space="preserve"> </w:t>
      </w:r>
      <w:r w:rsidR="00687334" w:rsidRPr="00EE32B6">
        <w:t>I</w:t>
      </w:r>
      <w:r w:rsidRPr="00EE32B6">
        <w:t>bid</w:t>
      </w:r>
      <w:r w:rsidR="00687334" w:rsidRPr="00EE32B6">
        <w:t>.</w:t>
      </w:r>
    </w:p>
  </w:footnote>
  <w:footnote w:id="19">
    <w:p w14:paraId="56EA66E9" w14:textId="6DCA8D16" w:rsidR="0045462E" w:rsidRPr="00EE32B6" w:rsidRDefault="0045462E">
      <w:pPr>
        <w:pStyle w:val="Fotnotetekst"/>
      </w:pPr>
      <w:r w:rsidRPr="00EE32B6">
        <w:rPr>
          <w:rStyle w:val="Fotnotereferanse"/>
        </w:rPr>
        <w:footnoteRef/>
      </w:r>
      <w:r w:rsidRPr="00EE32B6">
        <w:t xml:space="preserve"> </w:t>
      </w:r>
      <w:hyperlink r:id="rId12" w:history="1">
        <w:r w:rsidR="003466F5" w:rsidRPr="00EE32B6">
          <w:rPr>
            <w:rStyle w:val="Hyperkobling"/>
          </w:rPr>
          <w:t>https://www.edpb.europa.eu/sites/default/files/files/file1/edpb_recommendations_202002_europeanessentialguaranteessurveillance_en.pdf</w:t>
        </w:r>
      </w:hyperlink>
      <w:r w:rsidR="003466F5" w:rsidRPr="00EE32B6">
        <w:t>, se avsnitt 26 – 31</w:t>
      </w:r>
    </w:p>
  </w:footnote>
  <w:footnote w:id="20">
    <w:p w14:paraId="6A90CE88" w14:textId="42140A2D" w:rsidR="00B1039E" w:rsidRPr="00EE32B6" w:rsidRDefault="00B1039E">
      <w:pPr>
        <w:pStyle w:val="Fotnotetekst"/>
      </w:pPr>
      <w:r w:rsidRPr="00EE32B6">
        <w:rPr>
          <w:rStyle w:val="Fotnotereferanse"/>
        </w:rPr>
        <w:footnoteRef/>
      </w:r>
      <w:r w:rsidRPr="00EE32B6">
        <w:t xml:space="preserve"> Ibid, se avsnitt 26</w:t>
      </w:r>
    </w:p>
  </w:footnote>
  <w:footnote w:id="21">
    <w:p w14:paraId="4E41E06D" w14:textId="25D627E8" w:rsidR="00154AA3" w:rsidRPr="00EE32B6" w:rsidRDefault="00154AA3">
      <w:pPr>
        <w:pStyle w:val="Fotnotetekst"/>
      </w:pPr>
      <w:r w:rsidRPr="00EE32B6">
        <w:rPr>
          <w:rStyle w:val="Fotnotereferanse"/>
        </w:rPr>
        <w:footnoteRef/>
      </w:r>
      <w:r w:rsidRPr="00EE32B6">
        <w:t xml:space="preserve"> Ibid, se avsnitt 28</w:t>
      </w:r>
    </w:p>
  </w:footnote>
  <w:footnote w:id="22">
    <w:p w14:paraId="128A0D77" w14:textId="0D729E0E" w:rsidR="00472EE1" w:rsidRPr="00EE32B6" w:rsidRDefault="00472EE1">
      <w:pPr>
        <w:pStyle w:val="Fotnotetekst"/>
      </w:pPr>
      <w:r w:rsidRPr="00EE32B6">
        <w:rPr>
          <w:rStyle w:val="Fotnotereferanse"/>
        </w:rPr>
        <w:footnoteRef/>
      </w:r>
      <w:r w:rsidRPr="00EE32B6">
        <w:t xml:space="preserve"> Ibid, se avsnitt 2</w:t>
      </w:r>
      <w:r w:rsidR="008F1F2A" w:rsidRPr="00EE32B6">
        <w:t>9</w:t>
      </w:r>
    </w:p>
  </w:footnote>
  <w:footnote w:id="23">
    <w:p w14:paraId="4F6E9B83" w14:textId="64AD7216" w:rsidR="007824EB" w:rsidRPr="00EE32B6" w:rsidRDefault="007824EB">
      <w:pPr>
        <w:pStyle w:val="Fotnotetekst"/>
      </w:pPr>
      <w:r w:rsidRPr="00EE32B6">
        <w:rPr>
          <w:rStyle w:val="Fotnotereferanse"/>
        </w:rPr>
        <w:footnoteRef/>
      </w:r>
      <w:r w:rsidRPr="00EE32B6">
        <w:t xml:space="preserve"> Ibid, se avsnitt 30</w:t>
      </w:r>
    </w:p>
  </w:footnote>
  <w:footnote w:id="24">
    <w:p w14:paraId="1C2D67C4" w14:textId="29B0449D" w:rsidR="00DE451B" w:rsidRPr="00EE32B6" w:rsidRDefault="00DE451B">
      <w:pPr>
        <w:pStyle w:val="Fotnotetekst"/>
      </w:pPr>
      <w:r w:rsidRPr="00EE32B6">
        <w:rPr>
          <w:rStyle w:val="Fotnotereferanse"/>
        </w:rPr>
        <w:footnoteRef/>
      </w:r>
      <w:r w:rsidRPr="00EE32B6">
        <w:t xml:space="preserve"> </w:t>
      </w:r>
      <w:r w:rsidR="0071066F" w:rsidRPr="00EE32B6">
        <w:t>Ibid, se avsnitt 31</w:t>
      </w:r>
      <w:r w:rsidR="0004167D">
        <w:t>.</w:t>
      </w:r>
    </w:p>
  </w:footnote>
  <w:footnote w:id="25">
    <w:p w14:paraId="3358238E" w14:textId="5B5DB571" w:rsidR="0002499B" w:rsidRPr="00EE32B6" w:rsidRDefault="0002499B">
      <w:pPr>
        <w:pStyle w:val="Fotnotetekst"/>
      </w:pPr>
      <w:r w:rsidRPr="00EE32B6">
        <w:rPr>
          <w:rStyle w:val="Fotnotereferanse"/>
        </w:rPr>
        <w:footnoteRef/>
      </w:r>
      <w:r w:rsidRPr="00EE32B6">
        <w:t xml:space="preserve"> </w:t>
      </w:r>
      <w:hyperlink r:id="rId13" w:history="1">
        <w:r w:rsidRPr="00EE32B6">
          <w:rPr>
            <w:rStyle w:val="Hyperkobling"/>
          </w:rPr>
          <w:t>https://en.wikipedia.org/wiki/Legislative_Yuan</w:t>
        </w:r>
      </w:hyperlink>
      <w:r w:rsidR="0004167D">
        <w:rPr>
          <w:rStyle w:val="Hyperkobling"/>
        </w:rPr>
        <w:t>.</w:t>
      </w:r>
      <w:r w:rsidRPr="00EE32B6">
        <w:t xml:space="preserve"> </w:t>
      </w:r>
    </w:p>
  </w:footnote>
  <w:footnote w:id="26">
    <w:p w14:paraId="2F687F41" w14:textId="72B56FA6" w:rsidR="00146024" w:rsidRPr="008E22D2" w:rsidRDefault="00146024" w:rsidP="00146024">
      <w:pPr>
        <w:pStyle w:val="Fotnotetekst"/>
        <w:rPr>
          <w:lang w:val="en-GB"/>
        </w:rPr>
      </w:pPr>
      <w:r w:rsidRPr="00EE32B6">
        <w:rPr>
          <w:rStyle w:val="Fotnotereferanse"/>
        </w:rPr>
        <w:footnoteRef/>
      </w:r>
      <w:r w:rsidRPr="003C6B71">
        <w:rPr>
          <w:lang w:val="en-GB"/>
        </w:rPr>
        <w:t xml:space="preserve"> </w:t>
      </w:r>
      <w:hyperlink r:id="rId14" w:history="1">
        <w:r w:rsidRPr="008E22D2">
          <w:rPr>
            <w:rStyle w:val="Hyperkobling"/>
            <w:lang w:val="en-GB"/>
          </w:rPr>
          <w:t xml:space="preserve">Taiwan - Data Protection Overview | Guidance Note | </w:t>
        </w:r>
        <w:r w:rsidRPr="008E22D2">
          <w:rPr>
            <w:rStyle w:val="Hyperkobling"/>
            <w:lang w:val="en-GB"/>
          </w:rPr>
          <w:t>DataGuidance</w:t>
        </w:r>
      </w:hyperlink>
      <w:r w:rsidRPr="008E22D2">
        <w:rPr>
          <w:lang w:val="en-GB"/>
        </w:rPr>
        <w:t>, punkt 1.1, 3.1</w:t>
      </w:r>
      <w:r w:rsidR="0004167D">
        <w:rPr>
          <w:lang w:val="en-GB"/>
        </w:rPr>
        <w:t>.</w:t>
      </w:r>
    </w:p>
  </w:footnote>
  <w:footnote w:id="27">
    <w:p w14:paraId="65B98785" w14:textId="38758BED" w:rsidR="0086009C" w:rsidRPr="00EE32B6" w:rsidRDefault="0086009C">
      <w:pPr>
        <w:pStyle w:val="Fotnotetekst"/>
      </w:pPr>
      <w:r w:rsidRPr="00EE32B6">
        <w:rPr>
          <w:rStyle w:val="Fotnotereferanse"/>
        </w:rPr>
        <w:footnoteRef/>
      </w:r>
      <w:r w:rsidR="0004167D">
        <w:t xml:space="preserve"> Se </w:t>
      </w:r>
      <w:hyperlink r:id="rId15" w:history="1">
        <w:r w:rsidR="0004167D" w:rsidRPr="0004167D">
          <w:rPr>
            <w:rStyle w:val="Hyperkobling"/>
          </w:rPr>
          <w:t>https://www.edpb.europa.eu/sites/default/files/files/file1/edpb_recommendations_202002_europeanessentialguaranteessurveillance_en.pdf</w:t>
        </w:r>
      </w:hyperlink>
      <w:r w:rsidR="00D45B47" w:rsidRPr="00EE32B6">
        <w:t>, avsnitt 46 og 47</w:t>
      </w:r>
      <w:r w:rsidR="0004167D">
        <w:t>.</w:t>
      </w:r>
    </w:p>
  </w:footnote>
  <w:footnote w:id="28">
    <w:p w14:paraId="4C9DBE3D" w14:textId="77777777" w:rsidR="00FC0342" w:rsidRPr="000F717A" w:rsidRDefault="00FC0342" w:rsidP="00FC0342">
      <w:pPr>
        <w:pStyle w:val="Fotnotetekst"/>
        <w:rPr>
          <w:lang w:val="en-GB"/>
        </w:rPr>
      </w:pPr>
      <w:r w:rsidRPr="00EE32B6">
        <w:rPr>
          <w:rStyle w:val="Fotnotereferanse"/>
        </w:rPr>
        <w:footnoteRef/>
      </w:r>
      <w:r w:rsidRPr="000F717A">
        <w:rPr>
          <w:lang w:val="en-GB"/>
        </w:rPr>
        <w:t xml:space="preserve"> Taiwan – Third Country Assessment | Guidance Note | </w:t>
      </w:r>
      <w:r w:rsidRPr="000F717A">
        <w:rPr>
          <w:lang w:val="en-GB"/>
        </w:rPr>
        <w:t>DataGuidance, punkt 2.3.</w:t>
      </w:r>
    </w:p>
  </w:footnote>
  <w:footnote w:id="29">
    <w:p w14:paraId="0EE34164" w14:textId="1A7185FA" w:rsidR="00FC78EE" w:rsidRPr="00EE32B6" w:rsidRDefault="00FC78EE" w:rsidP="00FC78EE">
      <w:pPr>
        <w:pStyle w:val="Fotnotetekst"/>
      </w:pPr>
      <w:r w:rsidRPr="00EE32B6">
        <w:rPr>
          <w:rStyle w:val="Fotnotereferanse"/>
        </w:rPr>
        <w:footnoteRef/>
      </w:r>
      <w:r w:rsidRPr="00EE32B6">
        <w:t xml:space="preserve"> </w:t>
      </w:r>
      <w:hyperlink r:id="rId16" w:history="1">
        <w:r w:rsidRPr="00EE32B6">
          <w:rPr>
            <w:rStyle w:val="Hyperkobling"/>
          </w:rPr>
          <w:t>https://www.dataguidance.com/notes/taiwan-data-protection-overview</w:t>
        </w:r>
      </w:hyperlink>
      <w:r w:rsidRPr="00EE32B6">
        <w:t>, punkt 1.3</w:t>
      </w:r>
      <w:r w:rsidR="0004167D">
        <w:t>.</w:t>
      </w:r>
    </w:p>
  </w:footnote>
  <w:footnote w:id="30">
    <w:p w14:paraId="0C7B5A3D" w14:textId="328C4276" w:rsidR="00DC6E6A" w:rsidRPr="00EE32B6" w:rsidRDefault="00DC6E6A" w:rsidP="00DC6E6A">
      <w:pPr>
        <w:pStyle w:val="Fotnotetekst"/>
      </w:pPr>
      <w:r w:rsidRPr="00EE32B6">
        <w:rPr>
          <w:rStyle w:val="Fotnotereferanse"/>
        </w:rPr>
        <w:footnoteRef/>
      </w:r>
      <w:r w:rsidRPr="00EE32B6">
        <w:t xml:space="preserve"> </w:t>
      </w:r>
      <w:hyperlink r:id="rId17" w:history="1">
        <w:r w:rsidRPr="00EE32B6">
          <w:rPr>
            <w:rStyle w:val="Hyperkobling"/>
          </w:rPr>
          <w:t>https://cons.judicial.gov.tw/en/docdata.aspx?fid=100&amp;id=310812</w:t>
        </w:r>
      </w:hyperlink>
      <w:r w:rsidRPr="00EE32B6">
        <w:t xml:space="preserve"> </w:t>
      </w:r>
    </w:p>
  </w:footnote>
  <w:footnote w:id="31">
    <w:p w14:paraId="5370979D" w14:textId="7B277C3F" w:rsidR="00980D10" w:rsidRPr="00CB0BB4" w:rsidRDefault="00980D10">
      <w:pPr>
        <w:pStyle w:val="Fotnotetekst"/>
        <w:rPr>
          <w:lang w:val="en-GB"/>
        </w:rPr>
      </w:pPr>
      <w:r>
        <w:rPr>
          <w:rStyle w:val="Fotnotereferanse"/>
        </w:rPr>
        <w:footnoteRef/>
      </w:r>
      <w:r w:rsidRPr="00CB0BB4">
        <w:rPr>
          <w:lang w:val="en-GB"/>
        </w:rPr>
        <w:t xml:space="preserve"> Leading Cases of the Taiwan Constitutional Court</w:t>
      </w:r>
      <w:r w:rsidR="003C4233" w:rsidRPr="00CB0BB4">
        <w:rPr>
          <w:lang w:val="en-GB"/>
        </w:rPr>
        <w:t>, August 2018</w:t>
      </w:r>
      <w:r w:rsidRPr="00CB0BB4">
        <w:rPr>
          <w:lang w:val="en-GB"/>
        </w:rPr>
        <w:t>, Volume One, Judicial Yuan</w:t>
      </w:r>
      <w:r w:rsidR="00122220" w:rsidRPr="00CB0BB4">
        <w:rPr>
          <w:lang w:val="en-GB"/>
        </w:rPr>
        <w:t xml:space="preserve">, No.631, </w:t>
      </w:r>
      <w:r w:rsidR="00EE60F2" w:rsidRPr="00CB0BB4">
        <w:rPr>
          <w:lang w:val="en-GB"/>
        </w:rPr>
        <w:t>«Background Note by the translator</w:t>
      </w:r>
      <w:r w:rsidR="00D270DB" w:rsidRPr="00CB0BB4">
        <w:rPr>
          <w:lang w:val="en-GB"/>
        </w:rPr>
        <w:t>»</w:t>
      </w:r>
      <w:r w:rsidR="00EE60F2" w:rsidRPr="00CB0BB4">
        <w:rPr>
          <w:lang w:val="en-GB"/>
        </w:rPr>
        <w:t xml:space="preserve">, </w:t>
      </w:r>
      <w:r w:rsidR="00122220" w:rsidRPr="00CB0BB4">
        <w:rPr>
          <w:lang w:val="en-GB"/>
        </w:rPr>
        <w:t>s.111</w:t>
      </w:r>
      <w:r w:rsidR="00EE60F2" w:rsidRPr="00CB0BB4">
        <w:rPr>
          <w:lang w:val="en-GB"/>
        </w:rPr>
        <w:t xml:space="preserve"> – 119.</w:t>
      </w:r>
    </w:p>
  </w:footnote>
  <w:footnote w:id="32">
    <w:p w14:paraId="60EA0AD2" w14:textId="77777777" w:rsidR="00627367" w:rsidRPr="00677869" w:rsidRDefault="00627367" w:rsidP="00627367">
      <w:pPr>
        <w:pStyle w:val="Fotnotetekst"/>
        <w:rPr>
          <w:lang w:val="en-GB"/>
        </w:rPr>
      </w:pPr>
      <w:r>
        <w:rPr>
          <w:rStyle w:val="Fotnotereferanse"/>
        </w:rPr>
        <w:footnoteRef/>
      </w:r>
      <w:r w:rsidRPr="00CB0BB4">
        <w:rPr>
          <w:lang w:val="en-GB"/>
        </w:rPr>
        <w:t xml:space="preserve"> </w:t>
      </w:r>
      <w:hyperlink r:id="rId18" w:history="1">
        <w:r w:rsidRPr="00677869">
          <w:rPr>
            <w:rStyle w:val="Hyperkobling"/>
            <w:lang w:val="en-GB"/>
          </w:rPr>
          <w:t>https://globaltaiwan.org/2020/02/closing-loopholes-in-the-legal-framework-for-government-surveillance-in-taiwan/</w:t>
        </w:r>
      </w:hyperlink>
      <w:r w:rsidRPr="00677869">
        <w:rPr>
          <w:lang w:val="en-GB"/>
        </w:rPr>
        <w:t xml:space="preserve"> </w:t>
      </w:r>
    </w:p>
  </w:footnote>
  <w:footnote w:id="33">
    <w:p w14:paraId="0DAE049E" w14:textId="537ED57A" w:rsidR="00627367" w:rsidRPr="00677869" w:rsidRDefault="00627367" w:rsidP="00627367">
      <w:pPr>
        <w:pStyle w:val="Fotnotetekst"/>
        <w:rPr>
          <w:lang w:val="en-GB"/>
        </w:rPr>
      </w:pPr>
      <w:r>
        <w:rPr>
          <w:rStyle w:val="Fotnotereferanse"/>
        </w:rPr>
        <w:footnoteRef/>
      </w:r>
      <w:r w:rsidRPr="00677869">
        <w:rPr>
          <w:lang w:val="en-GB"/>
        </w:rPr>
        <w:t xml:space="preserve"> Taiwan Internet Transparency Report, a research project on internet freedom and online privacy conducted investigate and track the personal data requests and content removal request situation done by government units, Taiwan Association for Human Rights (TAHR),  </w:t>
      </w:r>
      <w:hyperlink r:id="rId19" w:history="1">
        <w:r w:rsidRPr="00677869">
          <w:rPr>
            <w:rStyle w:val="Hyperkobling"/>
            <w:lang w:val="en-GB"/>
          </w:rPr>
          <w:t>https://transparency.tahr.org.tw/TITR_Report_2015_en.pdf</w:t>
        </w:r>
      </w:hyperlink>
      <w:r w:rsidR="001B757B">
        <w:rPr>
          <w:lang w:val="en-GB"/>
        </w:rPr>
        <w:t>.</w:t>
      </w:r>
      <w:r w:rsidRPr="00677869">
        <w:rPr>
          <w:lang w:val="en-GB"/>
        </w:rPr>
        <w:t xml:space="preserve"> </w:t>
      </w:r>
    </w:p>
  </w:footnote>
  <w:footnote w:id="34">
    <w:p w14:paraId="67F3CB35" w14:textId="20B46650" w:rsidR="00627367" w:rsidRPr="009F7B04" w:rsidRDefault="00627367" w:rsidP="00627367">
      <w:pPr>
        <w:pStyle w:val="Fotnotetekst"/>
        <w:rPr>
          <w:lang w:val="en-GB"/>
        </w:rPr>
      </w:pPr>
      <w:r>
        <w:rPr>
          <w:rStyle w:val="Fotnotereferanse"/>
        </w:rPr>
        <w:footnoteRef/>
      </w:r>
      <w:r w:rsidRPr="009F7B04">
        <w:rPr>
          <w:lang w:val="en-GB"/>
        </w:rPr>
        <w:t xml:space="preserve"> Ibid, side 10 og 11</w:t>
      </w:r>
      <w:r w:rsidR="001B757B">
        <w:rPr>
          <w:lang w:val="en-GB"/>
        </w:rPr>
        <w:t>.</w:t>
      </w:r>
    </w:p>
  </w:footnote>
  <w:footnote w:id="35">
    <w:p w14:paraId="0EC797BC" w14:textId="77777777" w:rsidR="00627367" w:rsidRPr="009F7B04" w:rsidRDefault="00627367" w:rsidP="00627367">
      <w:pPr>
        <w:pStyle w:val="Fotnotetekst"/>
        <w:rPr>
          <w:lang w:val="en-GB"/>
        </w:rPr>
      </w:pPr>
      <w:r>
        <w:rPr>
          <w:rStyle w:val="Fotnotereferanse"/>
        </w:rPr>
        <w:footnoteRef/>
      </w:r>
      <w:r w:rsidRPr="009F7B04">
        <w:rPr>
          <w:lang w:val="en-GB"/>
        </w:rPr>
        <w:t xml:space="preserve"> Ibid, side 27</w:t>
      </w:r>
    </w:p>
  </w:footnote>
  <w:footnote w:id="36">
    <w:p w14:paraId="1A14B4DB" w14:textId="223D76FA" w:rsidR="00627367" w:rsidRPr="009F7B04" w:rsidRDefault="00627367" w:rsidP="00627367">
      <w:pPr>
        <w:pStyle w:val="Fotnotetekst"/>
        <w:rPr>
          <w:lang w:val="en-GB"/>
        </w:rPr>
      </w:pPr>
      <w:r>
        <w:rPr>
          <w:rStyle w:val="Fotnotereferanse"/>
        </w:rPr>
        <w:footnoteRef/>
      </w:r>
      <w:r w:rsidRPr="009F7B04">
        <w:rPr>
          <w:lang w:val="en-GB"/>
        </w:rPr>
        <w:t xml:space="preserve"> Ibid, side</w:t>
      </w:r>
      <w:r w:rsidR="00BF3336">
        <w:rPr>
          <w:lang w:val="en-GB"/>
        </w:rPr>
        <w:t xml:space="preserve"> </w:t>
      </w:r>
      <w:r w:rsidRPr="009F7B04">
        <w:rPr>
          <w:lang w:val="en-GB"/>
        </w:rPr>
        <w:t>26</w:t>
      </w:r>
    </w:p>
  </w:footnote>
  <w:footnote w:id="37">
    <w:p w14:paraId="276AF9D2" w14:textId="77777777" w:rsidR="00627367" w:rsidRPr="009F7B04" w:rsidRDefault="00627367" w:rsidP="00627367">
      <w:pPr>
        <w:pStyle w:val="Fotnotetekst"/>
        <w:rPr>
          <w:lang w:val="en-GB"/>
        </w:rPr>
      </w:pPr>
      <w:r>
        <w:rPr>
          <w:rStyle w:val="Fotnotereferanse"/>
        </w:rPr>
        <w:footnoteRef/>
      </w:r>
      <w:r w:rsidRPr="009F7B04">
        <w:rPr>
          <w:lang w:val="en-GB"/>
        </w:rPr>
        <w:t xml:space="preserve"> Ibid, side 25</w:t>
      </w:r>
    </w:p>
  </w:footnote>
  <w:footnote w:id="38">
    <w:p w14:paraId="4DFEB2F9" w14:textId="77777777" w:rsidR="00627367" w:rsidRPr="006B12E7" w:rsidRDefault="00627367" w:rsidP="00627367">
      <w:pPr>
        <w:pStyle w:val="Fotnotetekst"/>
        <w:rPr>
          <w:lang w:val="en-GB"/>
        </w:rPr>
      </w:pPr>
      <w:r>
        <w:rPr>
          <w:rStyle w:val="Fotnotereferanse"/>
        </w:rPr>
        <w:footnoteRef/>
      </w:r>
      <w:r w:rsidRPr="006B12E7">
        <w:rPr>
          <w:lang w:val="en-GB"/>
        </w:rPr>
        <w:t xml:space="preserve"> Ibid, side 24</w:t>
      </w:r>
    </w:p>
  </w:footnote>
  <w:footnote w:id="39">
    <w:p w14:paraId="3DEEC9AE" w14:textId="77777777" w:rsidR="00765423" w:rsidRPr="006B12E7" w:rsidRDefault="00765423" w:rsidP="00765423">
      <w:pPr>
        <w:pStyle w:val="Fotnotetekst"/>
        <w:rPr>
          <w:lang w:val="en-GB"/>
        </w:rPr>
      </w:pPr>
      <w:r w:rsidRPr="00EE32B6">
        <w:rPr>
          <w:rStyle w:val="Fotnotereferanse"/>
        </w:rPr>
        <w:footnoteRef/>
      </w:r>
      <w:r w:rsidRPr="006B12E7">
        <w:rPr>
          <w:lang w:val="en-GB"/>
        </w:rPr>
        <w:t xml:space="preserve"> </w:t>
      </w:r>
      <w:hyperlink r:id="rId20" w:history="1">
        <w:r w:rsidRPr="006B12E7">
          <w:rPr>
            <w:rStyle w:val="Hyperkobling"/>
            <w:lang w:val="en-GB"/>
          </w:rPr>
          <w:t>https://transparencyreport.google.com/user-data/overview?hl=en_US&amp;user_requests_report_period=series:requests,accounts;authority:TW;time:&amp;lu=legal_process_breakdown&amp;legal_process_breakdown=expanded:0</w:t>
        </w:r>
      </w:hyperlink>
      <w:r w:rsidRPr="006B12E7">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40A06" w14:textId="5E84A314" w:rsidR="004E1B7A" w:rsidRPr="00EE32B6" w:rsidRDefault="004E1B7A">
    <w:pPr>
      <w:pStyle w:val="Topptekst"/>
      <w:rPr>
        <w:b/>
        <w:bCs/>
        <w:u w:val="single"/>
      </w:rPr>
    </w:pPr>
  </w:p>
  <w:p w14:paraId="42991EF9" w14:textId="77777777" w:rsidR="004E1B7A" w:rsidRPr="00EE32B6" w:rsidRDefault="004E1B7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0796C"/>
    <w:multiLevelType w:val="hybridMultilevel"/>
    <w:tmpl w:val="242E5FC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33C40C4"/>
    <w:multiLevelType w:val="hybridMultilevel"/>
    <w:tmpl w:val="B8EEFD3C"/>
    <w:lvl w:ilvl="0" w:tplc="3F900428">
      <w:start w:val="1"/>
      <w:numFmt w:val="decimal"/>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 w15:restartNumberingAfterBreak="0">
    <w:nsid w:val="04170543"/>
    <w:multiLevelType w:val="hybridMultilevel"/>
    <w:tmpl w:val="0F3A9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797EFA"/>
    <w:multiLevelType w:val="hybridMultilevel"/>
    <w:tmpl w:val="9B4E9E2E"/>
    <w:lvl w:ilvl="0" w:tplc="04140011">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CC8094C"/>
    <w:multiLevelType w:val="hybridMultilevel"/>
    <w:tmpl w:val="D6B0D6FE"/>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D622D1F"/>
    <w:multiLevelType w:val="hybridMultilevel"/>
    <w:tmpl w:val="EBB2AD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0E383DDA"/>
    <w:multiLevelType w:val="hybridMultilevel"/>
    <w:tmpl w:val="B43E4EA4"/>
    <w:lvl w:ilvl="0" w:tplc="5C382C62">
      <w:start w:val="1"/>
      <w:numFmt w:val="upperLetter"/>
      <w:lvlText w:val="%1)"/>
      <w:lvlJc w:val="left"/>
      <w:pPr>
        <w:ind w:left="720" w:hanging="360"/>
      </w:pPr>
      <w:rPr>
        <w:rFonts w:hint="default"/>
        <w:b w:val="0"/>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F84656D"/>
    <w:multiLevelType w:val="hybridMultilevel"/>
    <w:tmpl w:val="48CC1F8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0095A02"/>
    <w:multiLevelType w:val="hybridMultilevel"/>
    <w:tmpl w:val="5510A144"/>
    <w:lvl w:ilvl="0" w:tplc="3C60A00C">
      <w:start w:val="2"/>
      <w:numFmt w:val="bullet"/>
      <w:lvlText w:val="-"/>
      <w:lvlJc w:val="left"/>
      <w:pPr>
        <w:ind w:left="720" w:hanging="360"/>
      </w:pPr>
      <w:rPr>
        <w:rFonts w:ascii="Calibri Light" w:eastAsiaTheme="majorEastAsia" w:hAnsi="Calibri Light" w:cs="Calibri Light"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1201952"/>
    <w:multiLevelType w:val="hybridMultilevel"/>
    <w:tmpl w:val="3DECE388"/>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4716953"/>
    <w:multiLevelType w:val="hybridMultilevel"/>
    <w:tmpl w:val="E7509098"/>
    <w:lvl w:ilvl="0" w:tplc="9DFC641C">
      <w:start w:val="1"/>
      <w:numFmt w:val="decimal"/>
      <w:lvlText w:val="%1."/>
      <w:lvlJc w:val="left"/>
      <w:pPr>
        <w:ind w:left="720" w:hanging="360"/>
      </w:pPr>
    </w:lvl>
    <w:lvl w:ilvl="1" w:tplc="E410E6E8">
      <w:start w:val="1"/>
      <w:numFmt w:val="decimal"/>
      <w:lvlText w:val="%2."/>
      <w:lvlJc w:val="left"/>
      <w:pPr>
        <w:ind w:left="720" w:hanging="360"/>
      </w:pPr>
    </w:lvl>
    <w:lvl w:ilvl="2" w:tplc="E3D03C1E">
      <w:start w:val="1"/>
      <w:numFmt w:val="decimal"/>
      <w:lvlText w:val="%3."/>
      <w:lvlJc w:val="left"/>
      <w:pPr>
        <w:ind w:left="720" w:hanging="360"/>
      </w:pPr>
    </w:lvl>
    <w:lvl w:ilvl="3" w:tplc="AB66D6D8">
      <w:start w:val="1"/>
      <w:numFmt w:val="decimal"/>
      <w:lvlText w:val="%4."/>
      <w:lvlJc w:val="left"/>
      <w:pPr>
        <w:ind w:left="720" w:hanging="360"/>
      </w:pPr>
    </w:lvl>
    <w:lvl w:ilvl="4" w:tplc="949E1534">
      <w:start w:val="1"/>
      <w:numFmt w:val="decimal"/>
      <w:lvlText w:val="%5."/>
      <w:lvlJc w:val="left"/>
      <w:pPr>
        <w:ind w:left="720" w:hanging="360"/>
      </w:pPr>
    </w:lvl>
    <w:lvl w:ilvl="5" w:tplc="E1BA45F6">
      <w:start w:val="1"/>
      <w:numFmt w:val="decimal"/>
      <w:lvlText w:val="%6."/>
      <w:lvlJc w:val="left"/>
      <w:pPr>
        <w:ind w:left="720" w:hanging="360"/>
      </w:pPr>
    </w:lvl>
    <w:lvl w:ilvl="6" w:tplc="5C0CD604">
      <w:start w:val="1"/>
      <w:numFmt w:val="decimal"/>
      <w:lvlText w:val="%7."/>
      <w:lvlJc w:val="left"/>
      <w:pPr>
        <w:ind w:left="720" w:hanging="360"/>
      </w:pPr>
    </w:lvl>
    <w:lvl w:ilvl="7" w:tplc="04AA497C">
      <w:start w:val="1"/>
      <w:numFmt w:val="decimal"/>
      <w:lvlText w:val="%8."/>
      <w:lvlJc w:val="left"/>
      <w:pPr>
        <w:ind w:left="720" w:hanging="360"/>
      </w:pPr>
    </w:lvl>
    <w:lvl w:ilvl="8" w:tplc="9C42002C">
      <w:start w:val="1"/>
      <w:numFmt w:val="decimal"/>
      <w:lvlText w:val="%9."/>
      <w:lvlJc w:val="left"/>
      <w:pPr>
        <w:ind w:left="720" w:hanging="360"/>
      </w:pPr>
    </w:lvl>
  </w:abstractNum>
  <w:abstractNum w:abstractNumId="11" w15:restartNumberingAfterBreak="0">
    <w:nsid w:val="148B3D51"/>
    <w:multiLevelType w:val="hybridMultilevel"/>
    <w:tmpl w:val="188E82E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15C715EC"/>
    <w:multiLevelType w:val="hybridMultilevel"/>
    <w:tmpl w:val="6D98C664"/>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1E293BD3"/>
    <w:multiLevelType w:val="hybridMultilevel"/>
    <w:tmpl w:val="349E004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20B15439"/>
    <w:multiLevelType w:val="hybridMultilevel"/>
    <w:tmpl w:val="0556006A"/>
    <w:lvl w:ilvl="0" w:tplc="03041D7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26E2738F"/>
    <w:multiLevelType w:val="hybridMultilevel"/>
    <w:tmpl w:val="3FA63FB0"/>
    <w:lvl w:ilvl="0" w:tplc="B3C07E9A">
      <w:start w:val="1"/>
      <w:numFmt w:val="decimal"/>
      <w:lvlText w:val="%1."/>
      <w:lvlJc w:val="left"/>
      <w:pPr>
        <w:ind w:left="720" w:hanging="360"/>
      </w:pPr>
      <w:rPr>
        <w:rFonts w:hint="default"/>
        <w:b/>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2707609C"/>
    <w:multiLevelType w:val="hybridMultilevel"/>
    <w:tmpl w:val="29B2DE82"/>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B947CB4"/>
    <w:multiLevelType w:val="hybridMultilevel"/>
    <w:tmpl w:val="D548CA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BF45DC3"/>
    <w:multiLevelType w:val="hybridMultilevel"/>
    <w:tmpl w:val="E0E2E314"/>
    <w:lvl w:ilvl="0" w:tplc="33A0D0E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6075D60"/>
    <w:multiLevelType w:val="hybridMultilevel"/>
    <w:tmpl w:val="2E40D7A6"/>
    <w:lvl w:ilvl="0" w:tplc="7D62785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8460337"/>
    <w:multiLevelType w:val="hybridMultilevel"/>
    <w:tmpl w:val="9E72FACA"/>
    <w:lvl w:ilvl="0" w:tplc="D0001C12">
      <w:start w:val="1"/>
      <w:numFmt w:val="decimal"/>
      <w:lvlText w:val="%1."/>
      <w:lvlJc w:val="left"/>
      <w:pPr>
        <w:ind w:left="1020" w:hanging="360"/>
      </w:pPr>
    </w:lvl>
    <w:lvl w:ilvl="1" w:tplc="9CC6CEC8">
      <w:start w:val="1"/>
      <w:numFmt w:val="upperLetter"/>
      <w:lvlText w:val="%2."/>
      <w:lvlJc w:val="left"/>
      <w:pPr>
        <w:ind w:left="1740" w:hanging="360"/>
      </w:pPr>
    </w:lvl>
    <w:lvl w:ilvl="2" w:tplc="ACC8F7AE">
      <w:start w:val="1"/>
      <w:numFmt w:val="decimal"/>
      <w:lvlText w:val="%3."/>
      <w:lvlJc w:val="left"/>
      <w:pPr>
        <w:ind w:left="1020" w:hanging="360"/>
      </w:pPr>
    </w:lvl>
    <w:lvl w:ilvl="3" w:tplc="6F8EFAEA">
      <w:start w:val="1"/>
      <w:numFmt w:val="decimal"/>
      <w:lvlText w:val="%4."/>
      <w:lvlJc w:val="left"/>
      <w:pPr>
        <w:ind w:left="1020" w:hanging="360"/>
      </w:pPr>
    </w:lvl>
    <w:lvl w:ilvl="4" w:tplc="69B82AEA">
      <w:start w:val="1"/>
      <w:numFmt w:val="decimal"/>
      <w:lvlText w:val="%5."/>
      <w:lvlJc w:val="left"/>
      <w:pPr>
        <w:ind w:left="1020" w:hanging="360"/>
      </w:pPr>
    </w:lvl>
    <w:lvl w:ilvl="5" w:tplc="D9705178">
      <w:start w:val="1"/>
      <w:numFmt w:val="decimal"/>
      <w:lvlText w:val="%6."/>
      <w:lvlJc w:val="left"/>
      <w:pPr>
        <w:ind w:left="1020" w:hanging="360"/>
      </w:pPr>
    </w:lvl>
    <w:lvl w:ilvl="6" w:tplc="FCCCD386">
      <w:start w:val="1"/>
      <w:numFmt w:val="decimal"/>
      <w:lvlText w:val="%7."/>
      <w:lvlJc w:val="left"/>
      <w:pPr>
        <w:ind w:left="1020" w:hanging="360"/>
      </w:pPr>
    </w:lvl>
    <w:lvl w:ilvl="7" w:tplc="35B254E4">
      <w:start w:val="1"/>
      <w:numFmt w:val="decimal"/>
      <w:lvlText w:val="%8."/>
      <w:lvlJc w:val="left"/>
      <w:pPr>
        <w:ind w:left="1020" w:hanging="360"/>
      </w:pPr>
    </w:lvl>
    <w:lvl w:ilvl="8" w:tplc="2C4E34CE">
      <w:start w:val="1"/>
      <w:numFmt w:val="decimal"/>
      <w:lvlText w:val="%9."/>
      <w:lvlJc w:val="left"/>
      <w:pPr>
        <w:ind w:left="1020" w:hanging="360"/>
      </w:pPr>
    </w:lvl>
  </w:abstractNum>
  <w:abstractNum w:abstractNumId="21" w15:restartNumberingAfterBreak="0">
    <w:nsid w:val="3A3545AA"/>
    <w:multiLevelType w:val="hybridMultilevel"/>
    <w:tmpl w:val="50646B6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A4D6376"/>
    <w:multiLevelType w:val="hybridMultilevel"/>
    <w:tmpl w:val="0CA2F30C"/>
    <w:lvl w:ilvl="0" w:tplc="EC0C30F8">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35429E6"/>
    <w:multiLevelType w:val="multilevel"/>
    <w:tmpl w:val="35CE7826"/>
    <w:lvl w:ilvl="0">
      <w:start w:val="1"/>
      <w:numFmt w:val="decimal"/>
      <w:lvlText w:val="%1."/>
      <w:lvlJc w:val="left"/>
      <w:pPr>
        <w:ind w:left="360" w:hanging="360"/>
      </w:pPr>
      <w:rPr>
        <w:rFonts w:hint="default"/>
      </w:rPr>
    </w:lvl>
    <w:lvl w:ilvl="1">
      <w:start w:val="1"/>
      <w:numFmt w:val="decimal"/>
      <w:pStyle w:val="Overskrift3"/>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lang w:val="nb-N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3A318A0"/>
    <w:multiLevelType w:val="hybridMultilevel"/>
    <w:tmpl w:val="48CC1F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3178EE"/>
    <w:multiLevelType w:val="multilevel"/>
    <w:tmpl w:val="05C494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67A68FC"/>
    <w:multiLevelType w:val="hybridMultilevel"/>
    <w:tmpl w:val="F6DA9C6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4A624A66"/>
    <w:multiLevelType w:val="multilevel"/>
    <w:tmpl w:val="B99C2C9A"/>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D433654"/>
    <w:multiLevelType w:val="hybridMultilevel"/>
    <w:tmpl w:val="C764C43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EDC0F12"/>
    <w:multiLevelType w:val="hybridMultilevel"/>
    <w:tmpl w:val="B1324F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F064CAF"/>
    <w:multiLevelType w:val="hybridMultilevel"/>
    <w:tmpl w:val="6B481494"/>
    <w:lvl w:ilvl="0" w:tplc="EA428E60">
      <w:start w:val="31"/>
      <w:numFmt w:val="bullet"/>
      <w:lvlText w:val="-"/>
      <w:lvlJc w:val="left"/>
      <w:pPr>
        <w:ind w:left="720" w:hanging="360"/>
      </w:pPr>
      <w:rPr>
        <w:rFonts w:ascii="Calibri" w:eastAsiaTheme="minorHAnsi" w:hAnsi="Calibri" w:cs="Calibri"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F0C5614"/>
    <w:multiLevelType w:val="hybridMultilevel"/>
    <w:tmpl w:val="0F3A998E"/>
    <w:lvl w:ilvl="0" w:tplc="B3C40FD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4FDD0D92"/>
    <w:multiLevelType w:val="hybridMultilevel"/>
    <w:tmpl w:val="7A4C1A48"/>
    <w:lvl w:ilvl="0" w:tplc="3C60A00C">
      <w:start w:val="2"/>
      <w:numFmt w:val="bullet"/>
      <w:lvlText w:val="-"/>
      <w:lvlJc w:val="left"/>
      <w:pPr>
        <w:ind w:left="1428" w:hanging="360"/>
      </w:pPr>
      <w:rPr>
        <w:rFonts w:ascii="Calibri Light" w:eastAsiaTheme="majorEastAsia" w:hAnsi="Calibri Light" w:cs="Calibri Light"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3" w15:restartNumberingAfterBreak="0">
    <w:nsid w:val="51E57DBB"/>
    <w:multiLevelType w:val="hybridMultilevel"/>
    <w:tmpl w:val="F1EC730C"/>
    <w:lvl w:ilvl="0" w:tplc="33E6728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521953FB"/>
    <w:multiLevelType w:val="hybridMultilevel"/>
    <w:tmpl w:val="0EBC976A"/>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55EE4837"/>
    <w:multiLevelType w:val="hybridMultilevel"/>
    <w:tmpl w:val="4972000A"/>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58515BEE"/>
    <w:multiLevelType w:val="hybridMultilevel"/>
    <w:tmpl w:val="052011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58C96726"/>
    <w:multiLevelType w:val="hybridMultilevel"/>
    <w:tmpl w:val="DECCE45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15:restartNumberingAfterBreak="0">
    <w:nsid w:val="5FE75FA9"/>
    <w:multiLevelType w:val="multilevel"/>
    <w:tmpl w:val="402E7ED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9" w15:restartNumberingAfterBreak="0">
    <w:nsid w:val="628422F8"/>
    <w:multiLevelType w:val="hybridMultilevel"/>
    <w:tmpl w:val="6082AF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5DA1798"/>
    <w:multiLevelType w:val="hybridMultilevel"/>
    <w:tmpl w:val="26AC0BE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1" w15:restartNumberingAfterBreak="0">
    <w:nsid w:val="666E6934"/>
    <w:multiLevelType w:val="multilevel"/>
    <w:tmpl w:val="6FB626D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AD532B5"/>
    <w:multiLevelType w:val="multilevel"/>
    <w:tmpl w:val="0414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34D321E"/>
    <w:multiLevelType w:val="hybridMultilevel"/>
    <w:tmpl w:val="29200746"/>
    <w:lvl w:ilvl="0" w:tplc="138C4CA2">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38508AD"/>
    <w:multiLevelType w:val="hybridMultilevel"/>
    <w:tmpl w:val="19789438"/>
    <w:lvl w:ilvl="0" w:tplc="64349C1A">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3C64779"/>
    <w:multiLevelType w:val="hybridMultilevel"/>
    <w:tmpl w:val="744CF9CE"/>
    <w:lvl w:ilvl="0" w:tplc="B6D8230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78CF6D8A"/>
    <w:multiLevelType w:val="hybridMultilevel"/>
    <w:tmpl w:val="3D44B57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7" w15:restartNumberingAfterBreak="0">
    <w:nsid w:val="7D352D9F"/>
    <w:multiLevelType w:val="hybridMultilevel"/>
    <w:tmpl w:val="266A0FCA"/>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130512401">
    <w:abstractNumId w:val="44"/>
  </w:num>
  <w:num w:numId="2" w16cid:durableId="1550994970">
    <w:abstractNumId w:val="25"/>
  </w:num>
  <w:num w:numId="3" w16cid:durableId="2083485676">
    <w:abstractNumId w:val="40"/>
  </w:num>
  <w:num w:numId="4" w16cid:durableId="1718118917">
    <w:abstractNumId w:val="0"/>
  </w:num>
  <w:num w:numId="5" w16cid:durableId="373776473">
    <w:abstractNumId w:val="28"/>
  </w:num>
  <w:num w:numId="6" w16cid:durableId="2129423985">
    <w:abstractNumId w:val="23"/>
  </w:num>
  <w:num w:numId="7" w16cid:durableId="1089496949">
    <w:abstractNumId w:val="34"/>
  </w:num>
  <w:num w:numId="8" w16cid:durableId="944462740">
    <w:abstractNumId w:val="27"/>
  </w:num>
  <w:num w:numId="9" w16cid:durableId="2136484279">
    <w:abstractNumId w:val="41"/>
  </w:num>
  <w:num w:numId="10" w16cid:durableId="288246680">
    <w:abstractNumId w:val="11"/>
  </w:num>
  <w:num w:numId="11" w16cid:durableId="1161508567">
    <w:abstractNumId w:val="22"/>
  </w:num>
  <w:num w:numId="12" w16cid:durableId="98107415">
    <w:abstractNumId w:val="38"/>
  </w:num>
  <w:num w:numId="13" w16cid:durableId="759987748">
    <w:abstractNumId w:val="19"/>
  </w:num>
  <w:num w:numId="14" w16cid:durableId="1888108612">
    <w:abstractNumId w:val="33"/>
  </w:num>
  <w:num w:numId="15" w16cid:durableId="540822583">
    <w:abstractNumId w:val="14"/>
  </w:num>
  <w:num w:numId="16" w16cid:durableId="200829284">
    <w:abstractNumId w:val="18"/>
  </w:num>
  <w:num w:numId="17" w16cid:durableId="1587378991">
    <w:abstractNumId w:val="13"/>
  </w:num>
  <w:num w:numId="18" w16cid:durableId="10955928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7511993">
    <w:abstractNumId w:val="31"/>
  </w:num>
  <w:num w:numId="20" w16cid:durableId="7879553">
    <w:abstractNumId w:val="2"/>
  </w:num>
  <w:num w:numId="21" w16cid:durableId="1170213762">
    <w:abstractNumId w:val="6"/>
  </w:num>
  <w:num w:numId="22" w16cid:durableId="346103648">
    <w:abstractNumId w:val="39"/>
  </w:num>
  <w:num w:numId="23" w16cid:durableId="1296833933">
    <w:abstractNumId w:val="36"/>
  </w:num>
  <w:num w:numId="24" w16cid:durableId="144592405">
    <w:abstractNumId w:val="20"/>
  </w:num>
  <w:num w:numId="25" w16cid:durableId="2130587895">
    <w:abstractNumId w:val="10"/>
  </w:num>
  <w:num w:numId="26" w16cid:durableId="268391273">
    <w:abstractNumId w:val="17"/>
  </w:num>
  <w:num w:numId="27" w16cid:durableId="1594242778">
    <w:abstractNumId w:val="46"/>
  </w:num>
  <w:num w:numId="28" w16cid:durableId="1595288647">
    <w:abstractNumId w:val="42"/>
  </w:num>
  <w:num w:numId="29" w16cid:durableId="1259172295">
    <w:abstractNumId w:val="7"/>
  </w:num>
  <w:num w:numId="30" w16cid:durableId="1590313493">
    <w:abstractNumId w:val="24"/>
  </w:num>
  <w:num w:numId="31" w16cid:durableId="1458332877">
    <w:abstractNumId w:val="29"/>
  </w:num>
  <w:num w:numId="32" w16cid:durableId="1341274638">
    <w:abstractNumId w:val="37"/>
  </w:num>
  <w:num w:numId="33" w16cid:durableId="1785690385">
    <w:abstractNumId w:val="47"/>
  </w:num>
  <w:num w:numId="34" w16cid:durableId="1939239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5823191">
    <w:abstractNumId w:val="3"/>
  </w:num>
  <w:num w:numId="36" w16cid:durableId="1531340507">
    <w:abstractNumId w:val="15"/>
  </w:num>
  <w:num w:numId="37" w16cid:durableId="949122428">
    <w:abstractNumId w:val="5"/>
  </w:num>
  <w:num w:numId="38" w16cid:durableId="1724021924">
    <w:abstractNumId w:val="30"/>
  </w:num>
  <w:num w:numId="39" w16cid:durableId="1806851192">
    <w:abstractNumId w:val="1"/>
  </w:num>
  <w:num w:numId="40" w16cid:durableId="1653873361">
    <w:abstractNumId w:val="26"/>
  </w:num>
  <w:num w:numId="41" w16cid:durableId="1664964317">
    <w:abstractNumId w:val="8"/>
  </w:num>
  <w:num w:numId="42" w16cid:durableId="156386717">
    <w:abstractNumId w:val="32"/>
  </w:num>
  <w:num w:numId="43" w16cid:durableId="1460685683">
    <w:abstractNumId w:val="21"/>
  </w:num>
  <w:num w:numId="44" w16cid:durableId="936256413">
    <w:abstractNumId w:val="43"/>
  </w:num>
  <w:num w:numId="45" w16cid:durableId="140654535">
    <w:abstractNumId w:val="9"/>
  </w:num>
  <w:num w:numId="46" w16cid:durableId="999501162">
    <w:abstractNumId w:val="45"/>
  </w:num>
  <w:num w:numId="47" w16cid:durableId="321348121">
    <w:abstractNumId w:val="16"/>
  </w:num>
  <w:num w:numId="48" w16cid:durableId="2072775994">
    <w:abstractNumId w:val="4"/>
  </w:num>
  <w:num w:numId="49" w16cid:durableId="174854605">
    <w:abstractNumId w:val="12"/>
  </w:num>
  <w:num w:numId="50" w16cid:durableId="35168387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C1D"/>
    <w:rsid w:val="000017A3"/>
    <w:rsid w:val="0000392B"/>
    <w:rsid w:val="00004516"/>
    <w:rsid w:val="000045DF"/>
    <w:rsid w:val="000056DE"/>
    <w:rsid w:val="000058A7"/>
    <w:rsid w:val="00006602"/>
    <w:rsid w:val="000074B6"/>
    <w:rsid w:val="000074F1"/>
    <w:rsid w:val="000078F3"/>
    <w:rsid w:val="00007DE4"/>
    <w:rsid w:val="00007E9E"/>
    <w:rsid w:val="00011014"/>
    <w:rsid w:val="00011A73"/>
    <w:rsid w:val="00011FF0"/>
    <w:rsid w:val="00012275"/>
    <w:rsid w:val="00012285"/>
    <w:rsid w:val="000123CD"/>
    <w:rsid w:val="00012920"/>
    <w:rsid w:val="00012965"/>
    <w:rsid w:val="000131E9"/>
    <w:rsid w:val="000134E9"/>
    <w:rsid w:val="000135B6"/>
    <w:rsid w:val="000137E0"/>
    <w:rsid w:val="000138C4"/>
    <w:rsid w:val="0001393F"/>
    <w:rsid w:val="00014575"/>
    <w:rsid w:val="000159DB"/>
    <w:rsid w:val="00015A3B"/>
    <w:rsid w:val="00016541"/>
    <w:rsid w:val="00016596"/>
    <w:rsid w:val="000170B5"/>
    <w:rsid w:val="00017375"/>
    <w:rsid w:val="00017EF1"/>
    <w:rsid w:val="0002022E"/>
    <w:rsid w:val="00020402"/>
    <w:rsid w:val="00020954"/>
    <w:rsid w:val="00021676"/>
    <w:rsid w:val="00021A24"/>
    <w:rsid w:val="00021F03"/>
    <w:rsid w:val="00023386"/>
    <w:rsid w:val="0002409A"/>
    <w:rsid w:val="0002499B"/>
    <w:rsid w:val="000251CE"/>
    <w:rsid w:val="00026ADB"/>
    <w:rsid w:val="00026F7B"/>
    <w:rsid w:val="00026FF4"/>
    <w:rsid w:val="00027D99"/>
    <w:rsid w:val="00030058"/>
    <w:rsid w:val="00030804"/>
    <w:rsid w:val="00031418"/>
    <w:rsid w:val="0003205F"/>
    <w:rsid w:val="00032579"/>
    <w:rsid w:val="00033366"/>
    <w:rsid w:val="00035CAF"/>
    <w:rsid w:val="00041440"/>
    <w:rsid w:val="0004167D"/>
    <w:rsid w:val="00042351"/>
    <w:rsid w:val="00042676"/>
    <w:rsid w:val="00043C39"/>
    <w:rsid w:val="00043D57"/>
    <w:rsid w:val="00044F54"/>
    <w:rsid w:val="00045358"/>
    <w:rsid w:val="00045553"/>
    <w:rsid w:val="00045CF5"/>
    <w:rsid w:val="00045E1C"/>
    <w:rsid w:val="00046DC0"/>
    <w:rsid w:val="00046EFC"/>
    <w:rsid w:val="00046F20"/>
    <w:rsid w:val="00047171"/>
    <w:rsid w:val="00047634"/>
    <w:rsid w:val="00047A67"/>
    <w:rsid w:val="00050CE6"/>
    <w:rsid w:val="0005132E"/>
    <w:rsid w:val="0005176A"/>
    <w:rsid w:val="000518C7"/>
    <w:rsid w:val="00052388"/>
    <w:rsid w:val="0005263F"/>
    <w:rsid w:val="00052DD8"/>
    <w:rsid w:val="00052F91"/>
    <w:rsid w:val="000556D0"/>
    <w:rsid w:val="00055A80"/>
    <w:rsid w:val="00055FA8"/>
    <w:rsid w:val="000565D5"/>
    <w:rsid w:val="00056638"/>
    <w:rsid w:val="00056B6E"/>
    <w:rsid w:val="00057F02"/>
    <w:rsid w:val="000617CE"/>
    <w:rsid w:val="0006248F"/>
    <w:rsid w:val="0006285A"/>
    <w:rsid w:val="00062A17"/>
    <w:rsid w:val="00062BD9"/>
    <w:rsid w:val="00063801"/>
    <w:rsid w:val="0006430D"/>
    <w:rsid w:val="000648C4"/>
    <w:rsid w:val="00064930"/>
    <w:rsid w:val="00064E47"/>
    <w:rsid w:val="00065579"/>
    <w:rsid w:val="00065AB1"/>
    <w:rsid w:val="00066791"/>
    <w:rsid w:val="0006771F"/>
    <w:rsid w:val="000677DF"/>
    <w:rsid w:val="000715DD"/>
    <w:rsid w:val="00071669"/>
    <w:rsid w:val="000721B7"/>
    <w:rsid w:val="00072E61"/>
    <w:rsid w:val="00073D2B"/>
    <w:rsid w:val="00075312"/>
    <w:rsid w:val="0007549F"/>
    <w:rsid w:val="00075691"/>
    <w:rsid w:val="00075DF7"/>
    <w:rsid w:val="00076495"/>
    <w:rsid w:val="00076903"/>
    <w:rsid w:val="00082286"/>
    <w:rsid w:val="00082A31"/>
    <w:rsid w:val="00082C08"/>
    <w:rsid w:val="000836CA"/>
    <w:rsid w:val="00083748"/>
    <w:rsid w:val="00083979"/>
    <w:rsid w:val="00083ABC"/>
    <w:rsid w:val="000840AD"/>
    <w:rsid w:val="0008530A"/>
    <w:rsid w:val="000864CE"/>
    <w:rsid w:val="00086837"/>
    <w:rsid w:val="000868CE"/>
    <w:rsid w:val="00086C70"/>
    <w:rsid w:val="0009114E"/>
    <w:rsid w:val="000916EB"/>
    <w:rsid w:val="00091E52"/>
    <w:rsid w:val="00092137"/>
    <w:rsid w:val="0009215A"/>
    <w:rsid w:val="000926AA"/>
    <w:rsid w:val="00093FC9"/>
    <w:rsid w:val="000943AC"/>
    <w:rsid w:val="00094EAB"/>
    <w:rsid w:val="000958A6"/>
    <w:rsid w:val="000963D4"/>
    <w:rsid w:val="00096D9B"/>
    <w:rsid w:val="00097345"/>
    <w:rsid w:val="00097E9F"/>
    <w:rsid w:val="000A0DD2"/>
    <w:rsid w:val="000A1035"/>
    <w:rsid w:val="000A1081"/>
    <w:rsid w:val="000A19CB"/>
    <w:rsid w:val="000A1C02"/>
    <w:rsid w:val="000A27F1"/>
    <w:rsid w:val="000A29E6"/>
    <w:rsid w:val="000A39A8"/>
    <w:rsid w:val="000A4D97"/>
    <w:rsid w:val="000A5528"/>
    <w:rsid w:val="000A5954"/>
    <w:rsid w:val="000B0584"/>
    <w:rsid w:val="000B07B3"/>
    <w:rsid w:val="000B0897"/>
    <w:rsid w:val="000B176D"/>
    <w:rsid w:val="000B217C"/>
    <w:rsid w:val="000B296D"/>
    <w:rsid w:val="000B3473"/>
    <w:rsid w:val="000B47F0"/>
    <w:rsid w:val="000B56DF"/>
    <w:rsid w:val="000B5A31"/>
    <w:rsid w:val="000B615E"/>
    <w:rsid w:val="000B61D4"/>
    <w:rsid w:val="000B689F"/>
    <w:rsid w:val="000B6FD3"/>
    <w:rsid w:val="000B73E6"/>
    <w:rsid w:val="000B7BB6"/>
    <w:rsid w:val="000B7E66"/>
    <w:rsid w:val="000C0FA3"/>
    <w:rsid w:val="000C1EEF"/>
    <w:rsid w:val="000C30FE"/>
    <w:rsid w:val="000C3C5B"/>
    <w:rsid w:val="000C417C"/>
    <w:rsid w:val="000C4833"/>
    <w:rsid w:val="000C5690"/>
    <w:rsid w:val="000C61A0"/>
    <w:rsid w:val="000C7912"/>
    <w:rsid w:val="000D1347"/>
    <w:rsid w:val="000D1E83"/>
    <w:rsid w:val="000D2010"/>
    <w:rsid w:val="000D30CA"/>
    <w:rsid w:val="000D3671"/>
    <w:rsid w:val="000D36DE"/>
    <w:rsid w:val="000D480B"/>
    <w:rsid w:val="000D4A59"/>
    <w:rsid w:val="000D4CCE"/>
    <w:rsid w:val="000D5857"/>
    <w:rsid w:val="000D5FC7"/>
    <w:rsid w:val="000E059D"/>
    <w:rsid w:val="000E0A23"/>
    <w:rsid w:val="000E29ED"/>
    <w:rsid w:val="000E2BC9"/>
    <w:rsid w:val="000E2F63"/>
    <w:rsid w:val="000E2FCE"/>
    <w:rsid w:val="000E2FEB"/>
    <w:rsid w:val="000E314F"/>
    <w:rsid w:val="000E3506"/>
    <w:rsid w:val="000E3E58"/>
    <w:rsid w:val="000E673D"/>
    <w:rsid w:val="000E7382"/>
    <w:rsid w:val="000E7C25"/>
    <w:rsid w:val="000E7D2B"/>
    <w:rsid w:val="000E7D9B"/>
    <w:rsid w:val="000F0545"/>
    <w:rsid w:val="000F084C"/>
    <w:rsid w:val="000F0943"/>
    <w:rsid w:val="000F1B24"/>
    <w:rsid w:val="000F1D91"/>
    <w:rsid w:val="000F2F1D"/>
    <w:rsid w:val="000F33E9"/>
    <w:rsid w:val="000F3818"/>
    <w:rsid w:val="000F49C3"/>
    <w:rsid w:val="000F4B4F"/>
    <w:rsid w:val="000F520F"/>
    <w:rsid w:val="000F53F9"/>
    <w:rsid w:val="000F62B5"/>
    <w:rsid w:val="000F6638"/>
    <w:rsid w:val="000F717A"/>
    <w:rsid w:val="00101630"/>
    <w:rsid w:val="00101989"/>
    <w:rsid w:val="00101E41"/>
    <w:rsid w:val="00102185"/>
    <w:rsid w:val="00102781"/>
    <w:rsid w:val="001033C0"/>
    <w:rsid w:val="0010380A"/>
    <w:rsid w:val="00103B50"/>
    <w:rsid w:val="00103C6B"/>
    <w:rsid w:val="00103C8C"/>
    <w:rsid w:val="001047FB"/>
    <w:rsid w:val="0010646B"/>
    <w:rsid w:val="00106EC0"/>
    <w:rsid w:val="001078C9"/>
    <w:rsid w:val="00107FB2"/>
    <w:rsid w:val="00110170"/>
    <w:rsid w:val="00113838"/>
    <w:rsid w:val="00115046"/>
    <w:rsid w:val="001153FD"/>
    <w:rsid w:val="00116231"/>
    <w:rsid w:val="001203AB"/>
    <w:rsid w:val="00120E11"/>
    <w:rsid w:val="001215C8"/>
    <w:rsid w:val="00122220"/>
    <w:rsid w:val="00122475"/>
    <w:rsid w:val="00123B95"/>
    <w:rsid w:val="001251B5"/>
    <w:rsid w:val="001251E3"/>
    <w:rsid w:val="00125534"/>
    <w:rsid w:val="0012563F"/>
    <w:rsid w:val="00126979"/>
    <w:rsid w:val="001308E6"/>
    <w:rsid w:val="0013123B"/>
    <w:rsid w:val="001315FF"/>
    <w:rsid w:val="0013169E"/>
    <w:rsid w:val="00131A7D"/>
    <w:rsid w:val="001346EA"/>
    <w:rsid w:val="00135175"/>
    <w:rsid w:val="00135604"/>
    <w:rsid w:val="00135B5A"/>
    <w:rsid w:val="00135CED"/>
    <w:rsid w:val="001360B7"/>
    <w:rsid w:val="0013611F"/>
    <w:rsid w:val="001363A3"/>
    <w:rsid w:val="00136AEE"/>
    <w:rsid w:val="00136B7B"/>
    <w:rsid w:val="001372D4"/>
    <w:rsid w:val="001374D2"/>
    <w:rsid w:val="00137B56"/>
    <w:rsid w:val="00137C60"/>
    <w:rsid w:val="00140764"/>
    <w:rsid w:val="00140AE9"/>
    <w:rsid w:val="001412F7"/>
    <w:rsid w:val="0014239A"/>
    <w:rsid w:val="001426EC"/>
    <w:rsid w:val="0014274E"/>
    <w:rsid w:val="0014279E"/>
    <w:rsid w:val="001439B6"/>
    <w:rsid w:val="00145310"/>
    <w:rsid w:val="00145570"/>
    <w:rsid w:val="00146024"/>
    <w:rsid w:val="0014634B"/>
    <w:rsid w:val="001472D1"/>
    <w:rsid w:val="00147640"/>
    <w:rsid w:val="00147A19"/>
    <w:rsid w:val="00150B51"/>
    <w:rsid w:val="00151557"/>
    <w:rsid w:val="00152551"/>
    <w:rsid w:val="00153480"/>
    <w:rsid w:val="00154167"/>
    <w:rsid w:val="001541C9"/>
    <w:rsid w:val="0015473F"/>
    <w:rsid w:val="001548B6"/>
    <w:rsid w:val="00154AA3"/>
    <w:rsid w:val="001555C6"/>
    <w:rsid w:val="00155694"/>
    <w:rsid w:val="00155F15"/>
    <w:rsid w:val="00155F7B"/>
    <w:rsid w:val="001560BB"/>
    <w:rsid w:val="001563FD"/>
    <w:rsid w:val="00156DB8"/>
    <w:rsid w:val="001574DA"/>
    <w:rsid w:val="00157A20"/>
    <w:rsid w:val="00157D35"/>
    <w:rsid w:val="00160170"/>
    <w:rsid w:val="001613A2"/>
    <w:rsid w:val="00161CD0"/>
    <w:rsid w:val="001645DF"/>
    <w:rsid w:val="001651AD"/>
    <w:rsid w:val="0016523E"/>
    <w:rsid w:val="00165F64"/>
    <w:rsid w:val="001664FF"/>
    <w:rsid w:val="00166F00"/>
    <w:rsid w:val="001707FF"/>
    <w:rsid w:val="00170935"/>
    <w:rsid w:val="00171056"/>
    <w:rsid w:val="00171DC8"/>
    <w:rsid w:val="0017245E"/>
    <w:rsid w:val="00172D41"/>
    <w:rsid w:val="00174216"/>
    <w:rsid w:val="001747F5"/>
    <w:rsid w:val="00174F7A"/>
    <w:rsid w:val="00175968"/>
    <w:rsid w:val="00176114"/>
    <w:rsid w:val="001765E9"/>
    <w:rsid w:val="00176A8D"/>
    <w:rsid w:val="00180531"/>
    <w:rsid w:val="00181755"/>
    <w:rsid w:val="0018251E"/>
    <w:rsid w:val="00182A1C"/>
    <w:rsid w:val="001841DB"/>
    <w:rsid w:val="0018429B"/>
    <w:rsid w:val="0018436C"/>
    <w:rsid w:val="001849D3"/>
    <w:rsid w:val="0018509C"/>
    <w:rsid w:val="00185913"/>
    <w:rsid w:val="00186834"/>
    <w:rsid w:val="00187E37"/>
    <w:rsid w:val="001908F7"/>
    <w:rsid w:val="00190FF6"/>
    <w:rsid w:val="00191AC5"/>
    <w:rsid w:val="00192629"/>
    <w:rsid w:val="00192D7D"/>
    <w:rsid w:val="00193057"/>
    <w:rsid w:val="001930BD"/>
    <w:rsid w:val="00193A77"/>
    <w:rsid w:val="00193F47"/>
    <w:rsid w:val="001952BF"/>
    <w:rsid w:val="00195500"/>
    <w:rsid w:val="00195BE1"/>
    <w:rsid w:val="0019643F"/>
    <w:rsid w:val="001967BD"/>
    <w:rsid w:val="00197278"/>
    <w:rsid w:val="00197C02"/>
    <w:rsid w:val="001A0400"/>
    <w:rsid w:val="001A1E7D"/>
    <w:rsid w:val="001A21B0"/>
    <w:rsid w:val="001A27ED"/>
    <w:rsid w:val="001A28DD"/>
    <w:rsid w:val="001A2ECF"/>
    <w:rsid w:val="001A429C"/>
    <w:rsid w:val="001A58E6"/>
    <w:rsid w:val="001A692E"/>
    <w:rsid w:val="001B09D4"/>
    <w:rsid w:val="001B1045"/>
    <w:rsid w:val="001B10F9"/>
    <w:rsid w:val="001B1C21"/>
    <w:rsid w:val="001B1D19"/>
    <w:rsid w:val="001B3303"/>
    <w:rsid w:val="001B3630"/>
    <w:rsid w:val="001B41C9"/>
    <w:rsid w:val="001B4E9F"/>
    <w:rsid w:val="001B5CEE"/>
    <w:rsid w:val="001B62BE"/>
    <w:rsid w:val="001B69F8"/>
    <w:rsid w:val="001B7213"/>
    <w:rsid w:val="001B7425"/>
    <w:rsid w:val="001B757B"/>
    <w:rsid w:val="001B7802"/>
    <w:rsid w:val="001B7AFD"/>
    <w:rsid w:val="001B7B1D"/>
    <w:rsid w:val="001C0069"/>
    <w:rsid w:val="001C0241"/>
    <w:rsid w:val="001C141F"/>
    <w:rsid w:val="001C187A"/>
    <w:rsid w:val="001C1A53"/>
    <w:rsid w:val="001C2080"/>
    <w:rsid w:val="001C25F5"/>
    <w:rsid w:val="001C397A"/>
    <w:rsid w:val="001C3F36"/>
    <w:rsid w:val="001C412D"/>
    <w:rsid w:val="001C41EC"/>
    <w:rsid w:val="001C47B4"/>
    <w:rsid w:val="001C4B18"/>
    <w:rsid w:val="001C56E5"/>
    <w:rsid w:val="001C5920"/>
    <w:rsid w:val="001C5C86"/>
    <w:rsid w:val="001D0041"/>
    <w:rsid w:val="001D1D80"/>
    <w:rsid w:val="001D1EF3"/>
    <w:rsid w:val="001D358F"/>
    <w:rsid w:val="001D373A"/>
    <w:rsid w:val="001D4B9E"/>
    <w:rsid w:val="001D5E35"/>
    <w:rsid w:val="001D601E"/>
    <w:rsid w:val="001D6BE8"/>
    <w:rsid w:val="001D7AC4"/>
    <w:rsid w:val="001E0929"/>
    <w:rsid w:val="001E099C"/>
    <w:rsid w:val="001E227B"/>
    <w:rsid w:val="001E3144"/>
    <w:rsid w:val="001E4778"/>
    <w:rsid w:val="001E50EA"/>
    <w:rsid w:val="001E55DC"/>
    <w:rsid w:val="001E56F3"/>
    <w:rsid w:val="001E57B8"/>
    <w:rsid w:val="001E6522"/>
    <w:rsid w:val="001E679B"/>
    <w:rsid w:val="001E7A75"/>
    <w:rsid w:val="001E7E31"/>
    <w:rsid w:val="001F0D13"/>
    <w:rsid w:val="001F10AE"/>
    <w:rsid w:val="001F1474"/>
    <w:rsid w:val="001F2555"/>
    <w:rsid w:val="001F4AC0"/>
    <w:rsid w:val="001F5185"/>
    <w:rsid w:val="001F5C8B"/>
    <w:rsid w:val="001F6284"/>
    <w:rsid w:val="001F62D2"/>
    <w:rsid w:val="001F715E"/>
    <w:rsid w:val="0020118D"/>
    <w:rsid w:val="00201886"/>
    <w:rsid w:val="00201DA4"/>
    <w:rsid w:val="00202909"/>
    <w:rsid w:val="00202C4D"/>
    <w:rsid w:val="002036E2"/>
    <w:rsid w:val="00203BA8"/>
    <w:rsid w:val="002046C7"/>
    <w:rsid w:val="00204CAD"/>
    <w:rsid w:val="0020597E"/>
    <w:rsid w:val="00207B3F"/>
    <w:rsid w:val="0021021E"/>
    <w:rsid w:val="00210450"/>
    <w:rsid w:val="00210D49"/>
    <w:rsid w:val="002113C8"/>
    <w:rsid w:val="00211CC4"/>
    <w:rsid w:val="00212B6D"/>
    <w:rsid w:val="00214E54"/>
    <w:rsid w:val="00214EF6"/>
    <w:rsid w:val="00215063"/>
    <w:rsid w:val="00215CD3"/>
    <w:rsid w:val="00216E72"/>
    <w:rsid w:val="00216FBA"/>
    <w:rsid w:val="00217151"/>
    <w:rsid w:val="00217E48"/>
    <w:rsid w:val="00217FCB"/>
    <w:rsid w:val="002203A9"/>
    <w:rsid w:val="00220BE2"/>
    <w:rsid w:val="00221C2F"/>
    <w:rsid w:val="00221F1B"/>
    <w:rsid w:val="00222692"/>
    <w:rsid w:val="002240F5"/>
    <w:rsid w:val="002247F0"/>
    <w:rsid w:val="0022564C"/>
    <w:rsid w:val="00226F10"/>
    <w:rsid w:val="00230429"/>
    <w:rsid w:val="002306F3"/>
    <w:rsid w:val="00230F91"/>
    <w:rsid w:val="00232307"/>
    <w:rsid w:val="002328EE"/>
    <w:rsid w:val="0023395F"/>
    <w:rsid w:val="002341B2"/>
    <w:rsid w:val="002341CD"/>
    <w:rsid w:val="002345C8"/>
    <w:rsid w:val="002348B1"/>
    <w:rsid w:val="00234FEF"/>
    <w:rsid w:val="00235AC6"/>
    <w:rsid w:val="00235B28"/>
    <w:rsid w:val="00237627"/>
    <w:rsid w:val="00237918"/>
    <w:rsid w:val="00237D64"/>
    <w:rsid w:val="00240B1B"/>
    <w:rsid w:val="0024184E"/>
    <w:rsid w:val="00241913"/>
    <w:rsid w:val="00241AA9"/>
    <w:rsid w:val="00241CE1"/>
    <w:rsid w:val="00241E63"/>
    <w:rsid w:val="00242426"/>
    <w:rsid w:val="00242EDC"/>
    <w:rsid w:val="00242EE6"/>
    <w:rsid w:val="0024311E"/>
    <w:rsid w:val="00243628"/>
    <w:rsid w:val="00243C34"/>
    <w:rsid w:val="00245387"/>
    <w:rsid w:val="0024682D"/>
    <w:rsid w:val="00247DBA"/>
    <w:rsid w:val="0025120F"/>
    <w:rsid w:val="00251679"/>
    <w:rsid w:val="00251A20"/>
    <w:rsid w:val="00251B82"/>
    <w:rsid w:val="00253763"/>
    <w:rsid w:val="002543E7"/>
    <w:rsid w:val="0025601C"/>
    <w:rsid w:val="00256F7E"/>
    <w:rsid w:val="002570E7"/>
    <w:rsid w:val="00257666"/>
    <w:rsid w:val="002578A3"/>
    <w:rsid w:val="002608C9"/>
    <w:rsid w:val="00260A21"/>
    <w:rsid w:val="00260A79"/>
    <w:rsid w:val="00261762"/>
    <w:rsid w:val="00262BA3"/>
    <w:rsid w:val="002633EE"/>
    <w:rsid w:val="00264853"/>
    <w:rsid w:val="002649B2"/>
    <w:rsid w:val="00265158"/>
    <w:rsid w:val="00265D26"/>
    <w:rsid w:val="00266CC8"/>
    <w:rsid w:val="0026704A"/>
    <w:rsid w:val="00267628"/>
    <w:rsid w:val="002676C4"/>
    <w:rsid w:val="00267D23"/>
    <w:rsid w:val="00270603"/>
    <w:rsid w:val="002709BA"/>
    <w:rsid w:val="002709D4"/>
    <w:rsid w:val="00271189"/>
    <w:rsid w:val="00271BE5"/>
    <w:rsid w:val="00271C79"/>
    <w:rsid w:val="00273581"/>
    <w:rsid w:val="00273768"/>
    <w:rsid w:val="00274227"/>
    <w:rsid w:val="00275865"/>
    <w:rsid w:val="002759A0"/>
    <w:rsid w:val="0027659F"/>
    <w:rsid w:val="00276618"/>
    <w:rsid w:val="00276654"/>
    <w:rsid w:val="00277757"/>
    <w:rsid w:val="00277B89"/>
    <w:rsid w:val="00280632"/>
    <w:rsid w:val="00280A3C"/>
    <w:rsid w:val="00281475"/>
    <w:rsid w:val="002827F0"/>
    <w:rsid w:val="00283B13"/>
    <w:rsid w:val="00283B19"/>
    <w:rsid w:val="0028465F"/>
    <w:rsid w:val="00284E3B"/>
    <w:rsid w:val="002851DE"/>
    <w:rsid w:val="00286B83"/>
    <w:rsid w:val="002879D9"/>
    <w:rsid w:val="00287D06"/>
    <w:rsid w:val="002908CA"/>
    <w:rsid w:val="00290C6C"/>
    <w:rsid w:val="00290FA9"/>
    <w:rsid w:val="002932AD"/>
    <w:rsid w:val="002945DA"/>
    <w:rsid w:val="00294741"/>
    <w:rsid w:val="002956AD"/>
    <w:rsid w:val="00295891"/>
    <w:rsid w:val="00297756"/>
    <w:rsid w:val="00297B5C"/>
    <w:rsid w:val="002A0D58"/>
    <w:rsid w:val="002A1228"/>
    <w:rsid w:val="002A1D86"/>
    <w:rsid w:val="002A21B6"/>
    <w:rsid w:val="002A2F54"/>
    <w:rsid w:val="002A32F9"/>
    <w:rsid w:val="002A53BA"/>
    <w:rsid w:val="002A5466"/>
    <w:rsid w:val="002A54C0"/>
    <w:rsid w:val="002A5853"/>
    <w:rsid w:val="002A5C68"/>
    <w:rsid w:val="002A7C71"/>
    <w:rsid w:val="002B1CC4"/>
    <w:rsid w:val="002B2607"/>
    <w:rsid w:val="002B2EA6"/>
    <w:rsid w:val="002B41C4"/>
    <w:rsid w:val="002C01EA"/>
    <w:rsid w:val="002C13F3"/>
    <w:rsid w:val="002C1968"/>
    <w:rsid w:val="002C328E"/>
    <w:rsid w:val="002C4415"/>
    <w:rsid w:val="002C4668"/>
    <w:rsid w:val="002C4AAA"/>
    <w:rsid w:val="002C7055"/>
    <w:rsid w:val="002C785F"/>
    <w:rsid w:val="002C7F7C"/>
    <w:rsid w:val="002D00AB"/>
    <w:rsid w:val="002D042F"/>
    <w:rsid w:val="002D1666"/>
    <w:rsid w:val="002D4CAB"/>
    <w:rsid w:val="002D4E69"/>
    <w:rsid w:val="002D4FC6"/>
    <w:rsid w:val="002D5433"/>
    <w:rsid w:val="002D57F1"/>
    <w:rsid w:val="002D59D1"/>
    <w:rsid w:val="002D614E"/>
    <w:rsid w:val="002D68D9"/>
    <w:rsid w:val="002D6FB6"/>
    <w:rsid w:val="002E0E00"/>
    <w:rsid w:val="002E1D2E"/>
    <w:rsid w:val="002E2009"/>
    <w:rsid w:val="002E26D3"/>
    <w:rsid w:val="002E550C"/>
    <w:rsid w:val="002E6F1C"/>
    <w:rsid w:val="002E6F8F"/>
    <w:rsid w:val="002E729F"/>
    <w:rsid w:val="002E7335"/>
    <w:rsid w:val="002E73DE"/>
    <w:rsid w:val="002E78B0"/>
    <w:rsid w:val="002E7D55"/>
    <w:rsid w:val="002F19D3"/>
    <w:rsid w:val="002F2646"/>
    <w:rsid w:val="002F26A2"/>
    <w:rsid w:val="002F36D4"/>
    <w:rsid w:val="002F3BFD"/>
    <w:rsid w:val="002F48BD"/>
    <w:rsid w:val="002F5809"/>
    <w:rsid w:val="002F5B5E"/>
    <w:rsid w:val="002F5F16"/>
    <w:rsid w:val="002F6EFA"/>
    <w:rsid w:val="002F74E7"/>
    <w:rsid w:val="002F78BF"/>
    <w:rsid w:val="00300603"/>
    <w:rsid w:val="00300EFA"/>
    <w:rsid w:val="00301334"/>
    <w:rsid w:val="003037CC"/>
    <w:rsid w:val="003058BE"/>
    <w:rsid w:val="003066D1"/>
    <w:rsid w:val="00306E53"/>
    <w:rsid w:val="00307DF8"/>
    <w:rsid w:val="003102E1"/>
    <w:rsid w:val="00310D8B"/>
    <w:rsid w:val="00310FA1"/>
    <w:rsid w:val="00311327"/>
    <w:rsid w:val="003113F8"/>
    <w:rsid w:val="00311575"/>
    <w:rsid w:val="0031168D"/>
    <w:rsid w:val="00312BC4"/>
    <w:rsid w:val="00313393"/>
    <w:rsid w:val="00313AA0"/>
    <w:rsid w:val="003148F4"/>
    <w:rsid w:val="00314BE4"/>
    <w:rsid w:val="00315DAD"/>
    <w:rsid w:val="0031612E"/>
    <w:rsid w:val="00316B36"/>
    <w:rsid w:val="00316E6B"/>
    <w:rsid w:val="003171ED"/>
    <w:rsid w:val="00317CC5"/>
    <w:rsid w:val="00320B36"/>
    <w:rsid w:val="00321CEA"/>
    <w:rsid w:val="00321E06"/>
    <w:rsid w:val="0032281B"/>
    <w:rsid w:val="003231C2"/>
    <w:rsid w:val="00323863"/>
    <w:rsid w:val="003241F4"/>
    <w:rsid w:val="003243C0"/>
    <w:rsid w:val="0032450D"/>
    <w:rsid w:val="00324F10"/>
    <w:rsid w:val="003252CD"/>
    <w:rsid w:val="003257E5"/>
    <w:rsid w:val="00326B23"/>
    <w:rsid w:val="00326ED4"/>
    <w:rsid w:val="00330054"/>
    <w:rsid w:val="003300EE"/>
    <w:rsid w:val="003310C5"/>
    <w:rsid w:val="00332487"/>
    <w:rsid w:val="0033276C"/>
    <w:rsid w:val="00332849"/>
    <w:rsid w:val="00332FFE"/>
    <w:rsid w:val="003332CC"/>
    <w:rsid w:val="003338DE"/>
    <w:rsid w:val="00334154"/>
    <w:rsid w:val="003345A9"/>
    <w:rsid w:val="00334BCB"/>
    <w:rsid w:val="0033569F"/>
    <w:rsid w:val="00335B98"/>
    <w:rsid w:val="00335CA6"/>
    <w:rsid w:val="00337006"/>
    <w:rsid w:val="003371B0"/>
    <w:rsid w:val="0034045A"/>
    <w:rsid w:val="00342517"/>
    <w:rsid w:val="003433A3"/>
    <w:rsid w:val="00343576"/>
    <w:rsid w:val="003437B8"/>
    <w:rsid w:val="00343CF7"/>
    <w:rsid w:val="00343E80"/>
    <w:rsid w:val="0034568E"/>
    <w:rsid w:val="00345923"/>
    <w:rsid w:val="00345AA7"/>
    <w:rsid w:val="003465B2"/>
    <w:rsid w:val="003466F5"/>
    <w:rsid w:val="00346908"/>
    <w:rsid w:val="00346DAF"/>
    <w:rsid w:val="0034786D"/>
    <w:rsid w:val="00350931"/>
    <w:rsid w:val="00350C53"/>
    <w:rsid w:val="003515F6"/>
    <w:rsid w:val="0035261C"/>
    <w:rsid w:val="00353572"/>
    <w:rsid w:val="00355246"/>
    <w:rsid w:val="00355515"/>
    <w:rsid w:val="00356FAC"/>
    <w:rsid w:val="003577C4"/>
    <w:rsid w:val="00360D42"/>
    <w:rsid w:val="00360DD0"/>
    <w:rsid w:val="00360F71"/>
    <w:rsid w:val="003616BB"/>
    <w:rsid w:val="00361EF2"/>
    <w:rsid w:val="00362145"/>
    <w:rsid w:val="00362773"/>
    <w:rsid w:val="00365721"/>
    <w:rsid w:val="0036649E"/>
    <w:rsid w:val="003665FC"/>
    <w:rsid w:val="003674D0"/>
    <w:rsid w:val="0037087C"/>
    <w:rsid w:val="00371807"/>
    <w:rsid w:val="00372055"/>
    <w:rsid w:val="00372CAE"/>
    <w:rsid w:val="003733F1"/>
    <w:rsid w:val="00374F3A"/>
    <w:rsid w:val="00375E65"/>
    <w:rsid w:val="00376857"/>
    <w:rsid w:val="00377015"/>
    <w:rsid w:val="00377F6C"/>
    <w:rsid w:val="0038020B"/>
    <w:rsid w:val="00380E0D"/>
    <w:rsid w:val="0038180B"/>
    <w:rsid w:val="003818B3"/>
    <w:rsid w:val="00383038"/>
    <w:rsid w:val="00384195"/>
    <w:rsid w:val="003845E6"/>
    <w:rsid w:val="003848EB"/>
    <w:rsid w:val="00384E88"/>
    <w:rsid w:val="003855BD"/>
    <w:rsid w:val="003856C6"/>
    <w:rsid w:val="00385912"/>
    <w:rsid w:val="00386331"/>
    <w:rsid w:val="00386BFA"/>
    <w:rsid w:val="0038708C"/>
    <w:rsid w:val="0039014A"/>
    <w:rsid w:val="0039037A"/>
    <w:rsid w:val="00390C3C"/>
    <w:rsid w:val="00390CF4"/>
    <w:rsid w:val="00391D91"/>
    <w:rsid w:val="00392008"/>
    <w:rsid w:val="00393595"/>
    <w:rsid w:val="00393961"/>
    <w:rsid w:val="00393A72"/>
    <w:rsid w:val="003944E5"/>
    <w:rsid w:val="00394698"/>
    <w:rsid w:val="003960BC"/>
    <w:rsid w:val="00396204"/>
    <w:rsid w:val="00396D67"/>
    <w:rsid w:val="003971D8"/>
    <w:rsid w:val="0039732B"/>
    <w:rsid w:val="00397850"/>
    <w:rsid w:val="00397ECD"/>
    <w:rsid w:val="003A1380"/>
    <w:rsid w:val="003A190E"/>
    <w:rsid w:val="003A2F1A"/>
    <w:rsid w:val="003A373E"/>
    <w:rsid w:val="003A3AEE"/>
    <w:rsid w:val="003A4ACC"/>
    <w:rsid w:val="003A53B5"/>
    <w:rsid w:val="003A5738"/>
    <w:rsid w:val="003A5C34"/>
    <w:rsid w:val="003A785C"/>
    <w:rsid w:val="003A7BFF"/>
    <w:rsid w:val="003B08EB"/>
    <w:rsid w:val="003B095D"/>
    <w:rsid w:val="003B0F92"/>
    <w:rsid w:val="003B15CB"/>
    <w:rsid w:val="003B16A3"/>
    <w:rsid w:val="003B1BCC"/>
    <w:rsid w:val="003B21CC"/>
    <w:rsid w:val="003B2237"/>
    <w:rsid w:val="003B25DE"/>
    <w:rsid w:val="003B2D07"/>
    <w:rsid w:val="003B3555"/>
    <w:rsid w:val="003B4414"/>
    <w:rsid w:val="003B477A"/>
    <w:rsid w:val="003B4DB5"/>
    <w:rsid w:val="003B691A"/>
    <w:rsid w:val="003B6AF7"/>
    <w:rsid w:val="003B7F9C"/>
    <w:rsid w:val="003C03E8"/>
    <w:rsid w:val="003C1AA9"/>
    <w:rsid w:val="003C2069"/>
    <w:rsid w:val="003C2C16"/>
    <w:rsid w:val="003C2FF4"/>
    <w:rsid w:val="003C3CC2"/>
    <w:rsid w:val="003C3F79"/>
    <w:rsid w:val="003C4233"/>
    <w:rsid w:val="003C50A7"/>
    <w:rsid w:val="003C5931"/>
    <w:rsid w:val="003C6829"/>
    <w:rsid w:val="003C6915"/>
    <w:rsid w:val="003C6B71"/>
    <w:rsid w:val="003C6C76"/>
    <w:rsid w:val="003C6FD9"/>
    <w:rsid w:val="003C72D9"/>
    <w:rsid w:val="003D0067"/>
    <w:rsid w:val="003D0273"/>
    <w:rsid w:val="003D0A02"/>
    <w:rsid w:val="003D1C9E"/>
    <w:rsid w:val="003D3D77"/>
    <w:rsid w:val="003D4243"/>
    <w:rsid w:val="003D425E"/>
    <w:rsid w:val="003D5F31"/>
    <w:rsid w:val="003D5FC0"/>
    <w:rsid w:val="003D6C2A"/>
    <w:rsid w:val="003D799F"/>
    <w:rsid w:val="003D7BFD"/>
    <w:rsid w:val="003E0176"/>
    <w:rsid w:val="003E0364"/>
    <w:rsid w:val="003E05C7"/>
    <w:rsid w:val="003E1837"/>
    <w:rsid w:val="003E1996"/>
    <w:rsid w:val="003E1A16"/>
    <w:rsid w:val="003E27C3"/>
    <w:rsid w:val="003E2FD8"/>
    <w:rsid w:val="003E320D"/>
    <w:rsid w:val="003E3A16"/>
    <w:rsid w:val="003E4E83"/>
    <w:rsid w:val="003E710A"/>
    <w:rsid w:val="003E7266"/>
    <w:rsid w:val="003E7301"/>
    <w:rsid w:val="003E748F"/>
    <w:rsid w:val="003F08BF"/>
    <w:rsid w:val="003F2042"/>
    <w:rsid w:val="003F3893"/>
    <w:rsid w:val="003F39F3"/>
    <w:rsid w:val="003F3C05"/>
    <w:rsid w:val="003F4543"/>
    <w:rsid w:val="003F51C2"/>
    <w:rsid w:val="003F5A21"/>
    <w:rsid w:val="003F660A"/>
    <w:rsid w:val="003F6DAD"/>
    <w:rsid w:val="003F7A5E"/>
    <w:rsid w:val="00400054"/>
    <w:rsid w:val="00401D13"/>
    <w:rsid w:val="00402115"/>
    <w:rsid w:val="00402D94"/>
    <w:rsid w:val="004030BD"/>
    <w:rsid w:val="00403142"/>
    <w:rsid w:val="0040317B"/>
    <w:rsid w:val="00403423"/>
    <w:rsid w:val="0040490C"/>
    <w:rsid w:val="00404A2C"/>
    <w:rsid w:val="00405D51"/>
    <w:rsid w:val="0040628D"/>
    <w:rsid w:val="0040659C"/>
    <w:rsid w:val="00407177"/>
    <w:rsid w:val="00407CAE"/>
    <w:rsid w:val="004114A9"/>
    <w:rsid w:val="00411B04"/>
    <w:rsid w:val="0041281A"/>
    <w:rsid w:val="00413167"/>
    <w:rsid w:val="00413286"/>
    <w:rsid w:val="00413C89"/>
    <w:rsid w:val="00413CF1"/>
    <w:rsid w:val="00414948"/>
    <w:rsid w:val="00415CEF"/>
    <w:rsid w:val="00416587"/>
    <w:rsid w:val="0041682A"/>
    <w:rsid w:val="004178E4"/>
    <w:rsid w:val="0042022E"/>
    <w:rsid w:val="004206E6"/>
    <w:rsid w:val="00420E34"/>
    <w:rsid w:val="0042116F"/>
    <w:rsid w:val="004213FF"/>
    <w:rsid w:val="0042167F"/>
    <w:rsid w:val="004221D3"/>
    <w:rsid w:val="0042317D"/>
    <w:rsid w:val="004236A5"/>
    <w:rsid w:val="0042397E"/>
    <w:rsid w:val="00423C3A"/>
    <w:rsid w:val="00425085"/>
    <w:rsid w:val="00425988"/>
    <w:rsid w:val="00425FA7"/>
    <w:rsid w:val="00426275"/>
    <w:rsid w:val="004268B1"/>
    <w:rsid w:val="00426A24"/>
    <w:rsid w:val="00431250"/>
    <w:rsid w:val="00431F9C"/>
    <w:rsid w:val="00432197"/>
    <w:rsid w:val="004321A4"/>
    <w:rsid w:val="00432556"/>
    <w:rsid w:val="004328B2"/>
    <w:rsid w:val="00432DD1"/>
    <w:rsid w:val="0043338F"/>
    <w:rsid w:val="0043570C"/>
    <w:rsid w:val="00435AE6"/>
    <w:rsid w:val="004360D7"/>
    <w:rsid w:val="0043771C"/>
    <w:rsid w:val="00440D81"/>
    <w:rsid w:val="00443BCE"/>
    <w:rsid w:val="00443CF3"/>
    <w:rsid w:val="00443DEF"/>
    <w:rsid w:val="00445DD5"/>
    <w:rsid w:val="004466B3"/>
    <w:rsid w:val="004472BC"/>
    <w:rsid w:val="00447872"/>
    <w:rsid w:val="004506C1"/>
    <w:rsid w:val="00450898"/>
    <w:rsid w:val="004509B0"/>
    <w:rsid w:val="00450F08"/>
    <w:rsid w:val="00450F93"/>
    <w:rsid w:val="00451870"/>
    <w:rsid w:val="00452351"/>
    <w:rsid w:val="00452859"/>
    <w:rsid w:val="00453CE8"/>
    <w:rsid w:val="00453EFC"/>
    <w:rsid w:val="004541A9"/>
    <w:rsid w:val="0045462E"/>
    <w:rsid w:val="00455CB0"/>
    <w:rsid w:val="0045637D"/>
    <w:rsid w:val="0045717F"/>
    <w:rsid w:val="004579DA"/>
    <w:rsid w:val="00461493"/>
    <w:rsid w:val="0046381C"/>
    <w:rsid w:val="0046662D"/>
    <w:rsid w:val="0046727E"/>
    <w:rsid w:val="00470FD0"/>
    <w:rsid w:val="004714FE"/>
    <w:rsid w:val="00471693"/>
    <w:rsid w:val="00471782"/>
    <w:rsid w:val="00471ECE"/>
    <w:rsid w:val="00472E3C"/>
    <w:rsid w:val="00472EE1"/>
    <w:rsid w:val="004739BD"/>
    <w:rsid w:val="00473D2D"/>
    <w:rsid w:val="00474801"/>
    <w:rsid w:val="004751B1"/>
    <w:rsid w:val="00475A76"/>
    <w:rsid w:val="00476DD8"/>
    <w:rsid w:val="004779AF"/>
    <w:rsid w:val="004809A8"/>
    <w:rsid w:val="0048146B"/>
    <w:rsid w:val="0048161A"/>
    <w:rsid w:val="00481A72"/>
    <w:rsid w:val="00482193"/>
    <w:rsid w:val="00482871"/>
    <w:rsid w:val="00482AE0"/>
    <w:rsid w:val="00483E27"/>
    <w:rsid w:val="004845E0"/>
    <w:rsid w:val="00484AE0"/>
    <w:rsid w:val="00485455"/>
    <w:rsid w:val="00485C5C"/>
    <w:rsid w:val="00486BE0"/>
    <w:rsid w:val="00486CA6"/>
    <w:rsid w:val="004919ED"/>
    <w:rsid w:val="00491C22"/>
    <w:rsid w:val="004922BA"/>
    <w:rsid w:val="00492668"/>
    <w:rsid w:val="004939EC"/>
    <w:rsid w:val="00493AFD"/>
    <w:rsid w:val="004951AB"/>
    <w:rsid w:val="00496B1D"/>
    <w:rsid w:val="004972E6"/>
    <w:rsid w:val="004979B1"/>
    <w:rsid w:val="004A0267"/>
    <w:rsid w:val="004A12A9"/>
    <w:rsid w:val="004A1B98"/>
    <w:rsid w:val="004A1E07"/>
    <w:rsid w:val="004A2721"/>
    <w:rsid w:val="004A2791"/>
    <w:rsid w:val="004A2815"/>
    <w:rsid w:val="004A2E6B"/>
    <w:rsid w:val="004A3138"/>
    <w:rsid w:val="004A3827"/>
    <w:rsid w:val="004A487A"/>
    <w:rsid w:val="004A4CD7"/>
    <w:rsid w:val="004A54F7"/>
    <w:rsid w:val="004A5C87"/>
    <w:rsid w:val="004A7206"/>
    <w:rsid w:val="004A7B9B"/>
    <w:rsid w:val="004B113F"/>
    <w:rsid w:val="004B2337"/>
    <w:rsid w:val="004B3901"/>
    <w:rsid w:val="004B4729"/>
    <w:rsid w:val="004B4F1D"/>
    <w:rsid w:val="004B53E0"/>
    <w:rsid w:val="004B6A8E"/>
    <w:rsid w:val="004B6C17"/>
    <w:rsid w:val="004B78CE"/>
    <w:rsid w:val="004B7D01"/>
    <w:rsid w:val="004B7D74"/>
    <w:rsid w:val="004C001C"/>
    <w:rsid w:val="004C03CD"/>
    <w:rsid w:val="004C1BCE"/>
    <w:rsid w:val="004C2713"/>
    <w:rsid w:val="004C34E0"/>
    <w:rsid w:val="004C34FA"/>
    <w:rsid w:val="004C3B1A"/>
    <w:rsid w:val="004C5940"/>
    <w:rsid w:val="004C5D78"/>
    <w:rsid w:val="004C7562"/>
    <w:rsid w:val="004C78D0"/>
    <w:rsid w:val="004D047B"/>
    <w:rsid w:val="004D0939"/>
    <w:rsid w:val="004D0CBC"/>
    <w:rsid w:val="004D1299"/>
    <w:rsid w:val="004D2144"/>
    <w:rsid w:val="004D268B"/>
    <w:rsid w:val="004D3582"/>
    <w:rsid w:val="004D36C4"/>
    <w:rsid w:val="004D373C"/>
    <w:rsid w:val="004D3B28"/>
    <w:rsid w:val="004D43B8"/>
    <w:rsid w:val="004D45B9"/>
    <w:rsid w:val="004D53CC"/>
    <w:rsid w:val="004D59AE"/>
    <w:rsid w:val="004D64D9"/>
    <w:rsid w:val="004D6778"/>
    <w:rsid w:val="004D6C25"/>
    <w:rsid w:val="004D6EDD"/>
    <w:rsid w:val="004D7153"/>
    <w:rsid w:val="004D77C2"/>
    <w:rsid w:val="004D7A33"/>
    <w:rsid w:val="004E0422"/>
    <w:rsid w:val="004E1250"/>
    <w:rsid w:val="004E1B7A"/>
    <w:rsid w:val="004E2240"/>
    <w:rsid w:val="004E2B2C"/>
    <w:rsid w:val="004E2BBF"/>
    <w:rsid w:val="004E3828"/>
    <w:rsid w:val="004E38DB"/>
    <w:rsid w:val="004E3CDF"/>
    <w:rsid w:val="004E4297"/>
    <w:rsid w:val="004E44A1"/>
    <w:rsid w:val="004E505B"/>
    <w:rsid w:val="004E5AF5"/>
    <w:rsid w:val="004E6213"/>
    <w:rsid w:val="004E6B33"/>
    <w:rsid w:val="004E6DA9"/>
    <w:rsid w:val="004E724F"/>
    <w:rsid w:val="004E7636"/>
    <w:rsid w:val="004F0128"/>
    <w:rsid w:val="004F045F"/>
    <w:rsid w:val="004F09B6"/>
    <w:rsid w:val="004F0D0F"/>
    <w:rsid w:val="004F0F5C"/>
    <w:rsid w:val="004F20EC"/>
    <w:rsid w:val="004F3B0C"/>
    <w:rsid w:val="004F3E0F"/>
    <w:rsid w:val="004F4141"/>
    <w:rsid w:val="004F4EC3"/>
    <w:rsid w:val="004F6A1E"/>
    <w:rsid w:val="004F72A2"/>
    <w:rsid w:val="005003F5"/>
    <w:rsid w:val="00500778"/>
    <w:rsid w:val="00500D8F"/>
    <w:rsid w:val="00501578"/>
    <w:rsid w:val="0050296F"/>
    <w:rsid w:val="005048C3"/>
    <w:rsid w:val="00504C97"/>
    <w:rsid w:val="00505DC5"/>
    <w:rsid w:val="00506C06"/>
    <w:rsid w:val="005102CF"/>
    <w:rsid w:val="0051143A"/>
    <w:rsid w:val="00511696"/>
    <w:rsid w:val="00511CF4"/>
    <w:rsid w:val="00511E88"/>
    <w:rsid w:val="00512242"/>
    <w:rsid w:val="00512D93"/>
    <w:rsid w:val="005135B4"/>
    <w:rsid w:val="00514289"/>
    <w:rsid w:val="00514C0E"/>
    <w:rsid w:val="00515437"/>
    <w:rsid w:val="00515463"/>
    <w:rsid w:val="0051657B"/>
    <w:rsid w:val="0051703E"/>
    <w:rsid w:val="00517E14"/>
    <w:rsid w:val="005221C9"/>
    <w:rsid w:val="005221CC"/>
    <w:rsid w:val="0052336E"/>
    <w:rsid w:val="005242C5"/>
    <w:rsid w:val="005244C0"/>
    <w:rsid w:val="00524A09"/>
    <w:rsid w:val="005252BC"/>
    <w:rsid w:val="0052577E"/>
    <w:rsid w:val="0052732C"/>
    <w:rsid w:val="005273EC"/>
    <w:rsid w:val="00527793"/>
    <w:rsid w:val="00527EB5"/>
    <w:rsid w:val="00530A8A"/>
    <w:rsid w:val="0053137B"/>
    <w:rsid w:val="00531546"/>
    <w:rsid w:val="00531697"/>
    <w:rsid w:val="00531973"/>
    <w:rsid w:val="005326F5"/>
    <w:rsid w:val="0053281F"/>
    <w:rsid w:val="0053284E"/>
    <w:rsid w:val="0053314F"/>
    <w:rsid w:val="00533F8B"/>
    <w:rsid w:val="00534B69"/>
    <w:rsid w:val="00537128"/>
    <w:rsid w:val="005375C4"/>
    <w:rsid w:val="00540392"/>
    <w:rsid w:val="00540470"/>
    <w:rsid w:val="00541671"/>
    <w:rsid w:val="0054171B"/>
    <w:rsid w:val="005433AE"/>
    <w:rsid w:val="0054368B"/>
    <w:rsid w:val="00543751"/>
    <w:rsid w:val="00543BAA"/>
    <w:rsid w:val="005440A6"/>
    <w:rsid w:val="0054448F"/>
    <w:rsid w:val="00544E8F"/>
    <w:rsid w:val="00545944"/>
    <w:rsid w:val="00545983"/>
    <w:rsid w:val="00545BEF"/>
    <w:rsid w:val="00545EA1"/>
    <w:rsid w:val="005469B2"/>
    <w:rsid w:val="00551241"/>
    <w:rsid w:val="00551940"/>
    <w:rsid w:val="00551A9C"/>
    <w:rsid w:val="00551C4C"/>
    <w:rsid w:val="00551E64"/>
    <w:rsid w:val="00551EEF"/>
    <w:rsid w:val="005528F7"/>
    <w:rsid w:val="00553B22"/>
    <w:rsid w:val="00553EB4"/>
    <w:rsid w:val="00554196"/>
    <w:rsid w:val="00554458"/>
    <w:rsid w:val="0055602D"/>
    <w:rsid w:val="00557449"/>
    <w:rsid w:val="00557D10"/>
    <w:rsid w:val="00560DA4"/>
    <w:rsid w:val="00560F2A"/>
    <w:rsid w:val="0056294B"/>
    <w:rsid w:val="00562D08"/>
    <w:rsid w:val="005641D0"/>
    <w:rsid w:val="00564485"/>
    <w:rsid w:val="00564CFF"/>
    <w:rsid w:val="0056569F"/>
    <w:rsid w:val="00565723"/>
    <w:rsid w:val="00565BBC"/>
    <w:rsid w:val="00565CE5"/>
    <w:rsid w:val="0056604F"/>
    <w:rsid w:val="005671E9"/>
    <w:rsid w:val="00567D13"/>
    <w:rsid w:val="005703E4"/>
    <w:rsid w:val="005706BA"/>
    <w:rsid w:val="00570C70"/>
    <w:rsid w:val="005717A0"/>
    <w:rsid w:val="00571BF4"/>
    <w:rsid w:val="0057270B"/>
    <w:rsid w:val="0057361F"/>
    <w:rsid w:val="005738A1"/>
    <w:rsid w:val="00575DF2"/>
    <w:rsid w:val="0057622B"/>
    <w:rsid w:val="00576A61"/>
    <w:rsid w:val="00576A9A"/>
    <w:rsid w:val="00576C3D"/>
    <w:rsid w:val="00577597"/>
    <w:rsid w:val="00577A74"/>
    <w:rsid w:val="00577BB2"/>
    <w:rsid w:val="00580939"/>
    <w:rsid w:val="005809A2"/>
    <w:rsid w:val="00581494"/>
    <w:rsid w:val="0058164A"/>
    <w:rsid w:val="00581660"/>
    <w:rsid w:val="00581DE9"/>
    <w:rsid w:val="005839F6"/>
    <w:rsid w:val="00583A88"/>
    <w:rsid w:val="00583B79"/>
    <w:rsid w:val="00584004"/>
    <w:rsid w:val="00584091"/>
    <w:rsid w:val="00585446"/>
    <w:rsid w:val="00585F9F"/>
    <w:rsid w:val="0058655F"/>
    <w:rsid w:val="005866A4"/>
    <w:rsid w:val="00586916"/>
    <w:rsid w:val="005876C8"/>
    <w:rsid w:val="00590A15"/>
    <w:rsid w:val="0059177F"/>
    <w:rsid w:val="0059198B"/>
    <w:rsid w:val="005922D3"/>
    <w:rsid w:val="00592CC5"/>
    <w:rsid w:val="00592E4A"/>
    <w:rsid w:val="0059351C"/>
    <w:rsid w:val="00593E4F"/>
    <w:rsid w:val="00594656"/>
    <w:rsid w:val="005961D8"/>
    <w:rsid w:val="00596378"/>
    <w:rsid w:val="005973DF"/>
    <w:rsid w:val="00597C09"/>
    <w:rsid w:val="00597D30"/>
    <w:rsid w:val="00597F15"/>
    <w:rsid w:val="005A1FD8"/>
    <w:rsid w:val="005A30E0"/>
    <w:rsid w:val="005A3A17"/>
    <w:rsid w:val="005A6008"/>
    <w:rsid w:val="005A6CC2"/>
    <w:rsid w:val="005A7ADF"/>
    <w:rsid w:val="005B0045"/>
    <w:rsid w:val="005B03BD"/>
    <w:rsid w:val="005B09F2"/>
    <w:rsid w:val="005B0B81"/>
    <w:rsid w:val="005B0FAC"/>
    <w:rsid w:val="005B1074"/>
    <w:rsid w:val="005B146B"/>
    <w:rsid w:val="005B1B9B"/>
    <w:rsid w:val="005B2CD3"/>
    <w:rsid w:val="005B3010"/>
    <w:rsid w:val="005B37DB"/>
    <w:rsid w:val="005B4049"/>
    <w:rsid w:val="005B407A"/>
    <w:rsid w:val="005B40A4"/>
    <w:rsid w:val="005B4162"/>
    <w:rsid w:val="005B44D2"/>
    <w:rsid w:val="005B492D"/>
    <w:rsid w:val="005B5A2D"/>
    <w:rsid w:val="005B5A99"/>
    <w:rsid w:val="005B5FE7"/>
    <w:rsid w:val="005B6790"/>
    <w:rsid w:val="005B6F69"/>
    <w:rsid w:val="005B7B7D"/>
    <w:rsid w:val="005B7CA0"/>
    <w:rsid w:val="005C13AB"/>
    <w:rsid w:val="005C200B"/>
    <w:rsid w:val="005C2257"/>
    <w:rsid w:val="005C2DDC"/>
    <w:rsid w:val="005C3023"/>
    <w:rsid w:val="005C54DA"/>
    <w:rsid w:val="005C5BBC"/>
    <w:rsid w:val="005C648A"/>
    <w:rsid w:val="005C6BBF"/>
    <w:rsid w:val="005C73FF"/>
    <w:rsid w:val="005D03E6"/>
    <w:rsid w:val="005D10BE"/>
    <w:rsid w:val="005D1930"/>
    <w:rsid w:val="005D1D36"/>
    <w:rsid w:val="005D2350"/>
    <w:rsid w:val="005D2636"/>
    <w:rsid w:val="005D2785"/>
    <w:rsid w:val="005D4865"/>
    <w:rsid w:val="005D4AEC"/>
    <w:rsid w:val="005D4E79"/>
    <w:rsid w:val="005D6014"/>
    <w:rsid w:val="005D623E"/>
    <w:rsid w:val="005D6A6D"/>
    <w:rsid w:val="005D7734"/>
    <w:rsid w:val="005E18A9"/>
    <w:rsid w:val="005E18B0"/>
    <w:rsid w:val="005E1AFE"/>
    <w:rsid w:val="005E1EE1"/>
    <w:rsid w:val="005E24FB"/>
    <w:rsid w:val="005E26F7"/>
    <w:rsid w:val="005E2D4B"/>
    <w:rsid w:val="005E35CB"/>
    <w:rsid w:val="005E3679"/>
    <w:rsid w:val="005E46E7"/>
    <w:rsid w:val="005E4C09"/>
    <w:rsid w:val="005E594A"/>
    <w:rsid w:val="005E6076"/>
    <w:rsid w:val="005E6427"/>
    <w:rsid w:val="005E65A9"/>
    <w:rsid w:val="005E65AF"/>
    <w:rsid w:val="005E6A07"/>
    <w:rsid w:val="005E6DD2"/>
    <w:rsid w:val="005F02B5"/>
    <w:rsid w:val="005F2315"/>
    <w:rsid w:val="005F2420"/>
    <w:rsid w:val="005F2848"/>
    <w:rsid w:val="005F2E0B"/>
    <w:rsid w:val="005F333C"/>
    <w:rsid w:val="005F3733"/>
    <w:rsid w:val="005F4194"/>
    <w:rsid w:val="005F455A"/>
    <w:rsid w:val="005F48DE"/>
    <w:rsid w:val="005F52B7"/>
    <w:rsid w:val="005F5337"/>
    <w:rsid w:val="005F5688"/>
    <w:rsid w:val="005F6E67"/>
    <w:rsid w:val="005F704C"/>
    <w:rsid w:val="005F7062"/>
    <w:rsid w:val="005F7BD9"/>
    <w:rsid w:val="006013B8"/>
    <w:rsid w:val="0060161F"/>
    <w:rsid w:val="00602282"/>
    <w:rsid w:val="00603BA8"/>
    <w:rsid w:val="006049AE"/>
    <w:rsid w:val="00604D45"/>
    <w:rsid w:val="00605AC5"/>
    <w:rsid w:val="0060678B"/>
    <w:rsid w:val="0061115A"/>
    <w:rsid w:val="00611714"/>
    <w:rsid w:val="0061194D"/>
    <w:rsid w:val="00611D56"/>
    <w:rsid w:val="0061250B"/>
    <w:rsid w:val="006132B0"/>
    <w:rsid w:val="00613E53"/>
    <w:rsid w:val="00614443"/>
    <w:rsid w:val="00614B2E"/>
    <w:rsid w:val="00615A09"/>
    <w:rsid w:val="00616388"/>
    <w:rsid w:val="0061651B"/>
    <w:rsid w:val="00616705"/>
    <w:rsid w:val="00616A60"/>
    <w:rsid w:val="0061764F"/>
    <w:rsid w:val="00617E62"/>
    <w:rsid w:val="00620377"/>
    <w:rsid w:val="006217A8"/>
    <w:rsid w:val="00622F4A"/>
    <w:rsid w:val="006235DE"/>
    <w:rsid w:val="00624CAA"/>
    <w:rsid w:val="00624E13"/>
    <w:rsid w:val="00626DCB"/>
    <w:rsid w:val="00627367"/>
    <w:rsid w:val="00627C90"/>
    <w:rsid w:val="00631A07"/>
    <w:rsid w:val="00632027"/>
    <w:rsid w:val="00632E1A"/>
    <w:rsid w:val="006341B0"/>
    <w:rsid w:val="00634707"/>
    <w:rsid w:val="00634D92"/>
    <w:rsid w:val="00634EE5"/>
    <w:rsid w:val="00635A6B"/>
    <w:rsid w:val="006360E8"/>
    <w:rsid w:val="006364E3"/>
    <w:rsid w:val="00641139"/>
    <w:rsid w:val="0064148F"/>
    <w:rsid w:val="00641499"/>
    <w:rsid w:val="0064218E"/>
    <w:rsid w:val="00642712"/>
    <w:rsid w:val="00642B7A"/>
    <w:rsid w:val="00642FCF"/>
    <w:rsid w:val="0064497C"/>
    <w:rsid w:val="00644C55"/>
    <w:rsid w:val="00645231"/>
    <w:rsid w:val="006457FC"/>
    <w:rsid w:val="00646315"/>
    <w:rsid w:val="006464A2"/>
    <w:rsid w:val="006468CA"/>
    <w:rsid w:val="00646D3E"/>
    <w:rsid w:val="006506B4"/>
    <w:rsid w:val="00650AB3"/>
    <w:rsid w:val="00651615"/>
    <w:rsid w:val="00652178"/>
    <w:rsid w:val="00652C91"/>
    <w:rsid w:val="006532EA"/>
    <w:rsid w:val="0065440E"/>
    <w:rsid w:val="0065475E"/>
    <w:rsid w:val="00654C2B"/>
    <w:rsid w:val="0065506A"/>
    <w:rsid w:val="00656643"/>
    <w:rsid w:val="006572EB"/>
    <w:rsid w:val="006573E4"/>
    <w:rsid w:val="006574D1"/>
    <w:rsid w:val="00657AB3"/>
    <w:rsid w:val="00660019"/>
    <w:rsid w:val="00660DC9"/>
    <w:rsid w:val="00661D46"/>
    <w:rsid w:val="00661F0D"/>
    <w:rsid w:val="00662976"/>
    <w:rsid w:val="00662AFA"/>
    <w:rsid w:val="00663D80"/>
    <w:rsid w:val="00664699"/>
    <w:rsid w:val="006647C0"/>
    <w:rsid w:val="006650A0"/>
    <w:rsid w:val="006651D1"/>
    <w:rsid w:val="00667629"/>
    <w:rsid w:val="0067266B"/>
    <w:rsid w:val="006745CF"/>
    <w:rsid w:val="00676412"/>
    <w:rsid w:val="00677869"/>
    <w:rsid w:val="00680167"/>
    <w:rsid w:val="006802AA"/>
    <w:rsid w:val="00680A33"/>
    <w:rsid w:val="00680E80"/>
    <w:rsid w:val="00681006"/>
    <w:rsid w:val="0068112F"/>
    <w:rsid w:val="00681B51"/>
    <w:rsid w:val="00682587"/>
    <w:rsid w:val="00683AEB"/>
    <w:rsid w:val="00683D3A"/>
    <w:rsid w:val="00684224"/>
    <w:rsid w:val="00684FE7"/>
    <w:rsid w:val="006851BF"/>
    <w:rsid w:val="0068568B"/>
    <w:rsid w:val="00685A61"/>
    <w:rsid w:val="00685BD9"/>
    <w:rsid w:val="00685CDB"/>
    <w:rsid w:val="00685D13"/>
    <w:rsid w:val="0068619C"/>
    <w:rsid w:val="0068628D"/>
    <w:rsid w:val="00686B07"/>
    <w:rsid w:val="00687196"/>
    <w:rsid w:val="00687334"/>
    <w:rsid w:val="00692448"/>
    <w:rsid w:val="00692623"/>
    <w:rsid w:val="00694195"/>
    <w:rsid w:val="00694355"/>
    <w:rsid w:val="0069472F"/>
    <w:rsid w:val="00695B0A"/>
    <w:rsid w:val="00696C77"/>
    <w:rsid w:val="00697977"/>
    <w:rsid w:val="006A15B4"/>
    <w:rsid w:val="006A1744"/>
    <w:rsid w:val="006A218B"/>
    <w:rsid w:val="006A2462"/>
    <w:rsid w:val="006A270B"/>
    <w:rsid w:val="006A28A6"/>
    <w:rsid w:val="006A2CB7"/>
    <w:rsid w:val="006A430E"/>
    <w:rsid w:val="006A5259"/>
    <w:rsid w:val="006A5AAE"/>
    <w:rsid w:val="006A5EC0"/>
    <w:rsid w:val="006A642C"/>
    <w:rsid w:val="006A7132"/>
    <w:rsid w:val="006A72E8"/>
    <w:rsid w:val="006A7405"/>
    <w:rsid w:val="006A782F"/>
    <w:rsid w:val="006A7B1F"/>
    <w:rsid w:val="006A7EB8"/>
    <w:rsid w:val="006B0051"/>
    <w:rsid w:val="006B00DC"/>
    <w:rsid w:val="006B038A"/>
    <w:rsid w:val="006B0A33"/>
    <w:rsid w:val="006B12E7"/>
    <w:rsid w:val="006B1868"/>
    <w:rsid w:val="006B4214"/>
    <w:rsid w:val="006B50C0"/>
    <w:rsid w:val="006B5568"/>
    <w:rsid w:val="006B6069"/>
    <w:rsid w:val="006B609C"/>
    <w:rsid w:val="006B6522"/>
    <w:rsid w:val="006B795F"/>
    <w:rsid w:val="006C0C8F"/>
    <w:rsid w:val="006C2176"/>
    <w:rsid w:val="006C291C"/>
    <w:rsid w:val="006C2AB3"/>
    <w:rsid w:val="006C3BB0"/>
    <w:rsid w:val="006C3C87"/>
    <w:rsid w:val="006C3F41"/>
    <w:rsid w:val="006C49EB"/>
    <w:rsid w:val="006C4C8B"/>
    <w:rsid w:val="006C4D83"/>
    <w:rsid w:val="006C5017"/>
    <w:rsid w:val="006C5041"/>
    <w:rsid w:val="006C582F"/>
    <w:rsid w:val="006C6313"/>
    <w:rsid w:val="006C6472"/>
    <w:rsid w:val="006C6A09"/>
    <w:rsid w:val="006C74D2"/>
    <w:rsid w:val="006C755D"/>
    <w:rsid w:val="006C75D0"/>
    <w:rsid w:val="006D0128"/>
    <w:rsid w:val="006D077C"/>
    <w:rsid w:val="006D08B2"/>
    <w:rsid w:val="006D13C1"/>
    <w:rsid w:val="006D29EA"/>
    <w:rsid w:val="006D2BAB"/>
    <w:rsid w:val="006D2EC2"/>
    <w:rsid w:val="006D33CA"/>
    <w:rsid w:val="006D34F6"/>
    <w:rsid w:val="006D3BE5"/>
    <w:rsid w:val="006D4E98"/>
    <w:rsid w:val="006D4FE8"/>
    <w:rsid w:val="006D56BC"/>
    <w:rsid w:val="006D5EEA"/>
    <w:rsid w:val="006D630D"/>
    <w:rsid w:val="006D637A"/>
    <w:rsid w:val="006D63A7"/>
    <w:rsid w:val="006D77A6"/>
    <w:rsid w:val="006D78A1"/>
    <w:rsid w:val="006D7F75"/>
    <w:rsid w:val="006E02B5"/>
    <w:rsid w:val="006E09CD"/>
    <w:rsid w:val="006E0B87"/>
    <w:rsid w:val="006E1913"/>
    <w:rsid w:val="006E3ECF"/>
    <w:rsid w:val="006E4CBF"/>
    <w:rsid w:val="006E4FA8"/>
    <w:rsid w:val="006E5CAD"/>
    <w:rsid w:val="006E6609"/>
    <w:rsid w:val="006E6622"/>
    <w:rsid w:val="006E6D72"/>
    <w:rsid w:val="006E78FF"/>
    <w:rsid w:val="006E7BE3"/>
    <w:rsid w:val="006F0357"/>
    <w:rsid w:val="006F08A8"/>
    <w:rsid w:val="006F246C"/>
    <w:rsid w:val="006F326B"/>
    <w:rsid w:val="006F4458"/>
    <w:rsid w:val="006F49A2"/>
    <w:rsid w:val="006F4A50"/>
    <w:rsid w:val="006F4B28"/>
    <w:rsid w:val="006F4E11"/>
    <w:rsid w:val="006F5E76"/>
    <w:rsid w:val="006F6802"/>
    <w:rsid w:val="006F73B9"/>
    <w:rsid w:val="006F7DAC"/>
    <w:rsid w:val="006F7F73"/>
    <w:rsid w:val="007002D9"/>
    <w:rsid w:val="0070085C"/>
    <w:rsid w:val="00700A55"/>
    <w:rsid w:val="00700EAD"/>
    <w:rsid w:val="00702F59"/>
    <w:rsid w:val="007052BE"/>
    <w:rsid w:val="00706318"/>
    <w:rsid w:val="00707220"/>
    <w:rsid w:val="00707A3D"/>
    <w:rsid w:val="00710316"/>
    <w:rsid w:val="00710456"/>
    <w:rsid w:val="007105D0"/>
    <w:rsid w:val="0071066F"/>
    <w:rsid w:val="00711AE9"/>
    <w:rsid w:val="007129CA"/>
    <w:rsid w:val="00714174"/>
    <w:rsid w:val="00714E55"/>
    <w:rsid w:val="007151F2"/>
    <w:rsid w:val="00715DB0"/>
    <w:rsid w:val="00715DE1"/>
    <w:rsid w:val="00717A2B"/>
    <w:rsid w:val="00720FA9"/>
    <w:rsid w:val="007225FD"/>
    <w:rsid w:val="00722B9F"/>
    <w:rsid w:val="007232AB"/>
    <w:rsid w:val="007237E0"/>
    <w:rsid w:val="00723FFB"/>
    <w:rsid w:val="007245C6"/>
    <w:rsid w:val="007248C6"/>
    <w:rsid w:val="00724C0C"/>
    <w:rsid w:val="00726030"/>
    <w:rsid w:val="00726C1B"/>
    <w:rsid w:val="00727829"/>
    <w:rsid w:val="0073097F"/>
    <w:rsid w:val="007314AA"/>
    <w:rsid w:val="007325BE"/>
    <w:rsid w:val="00732CCA"/>
    <w:rsid w:val="00733608"/>
    <w:rsid w:val="00733A5F"/>
    <w:rsid w:val="00733E5B"/>
    <w:rsid w:val="00734203"/>
    <w:rsid w:val="00734B15"/>
    <w:rsid w:val="0074041B"/>
    <w:rsid w:val="007407DA"/>
    <w:rsid w:val="00741557"/>
    <w:rsid w:val="00741C49"/>
    <w:rsid w:val="007438C3"/>
    <w:rsid w:val="00743D04"/>
    <w:rsid w:val="0074535F"/>
    <w:rsid w:val="00745443"/>
    <w:rsid w:val="00745461"/>
    <w:rsid w:val="00745500"/>
    <w:rsid w:val="00745FC2"/>
    <w:rsid w:val="007461B7"/>
    <w:rsid w:val="00746CC9"/>
    <w:rsid w:val="00746E87"/>
    <w:rsid w:val="007477B5"/>
    <w:rsid w:val="0075160D"/>
    <w:rsid w:val="0075161D"/>
    <w:rsid w:val="007525E7"/>
    <w:rsid w:val="00752854"/>
    <w:rsid w:val="007537B9"/>
    <w:rsid w:val="00754233"/>
    <w:rsid w:val="0075547E"/>
    <w:rsid w:val="00755611"/>
    <w:rsid w:val="007558AF"/>
    <w:rsid w:val="00755BA1"/>
    <w:rsid w:val="0075678F"/>
    <w:rsid w:val="0075706D"/>
    <w:rsid w:val="00757BCA"/>
    <w:rsid w:val="007630D0"/>
    <w:rsid w:val="007635E8"/>
    <w:rsid w:val="00765268"/>
    <w:rsid w:val="0076527B"/>
    <w:rsid w:val="00765423"/>
    <w:rsid w:val="00765E34"/>
    <w:rsid w:val="007672E0"/>
    <w:rsid w:val="00770342"/>
    <w:rsid w:val="00770A61"/>
    <w:rsid w:val="00770F12"/>
    <w:rsid w:val="00771D79"/>
    <w:rsid w:val="00771FEE"/>
    <w:rsid w:val="0077205F"/>
    <w:rsid w:val="00772D23"/>
    <w:rsid w:val="007732EA"/>
    <w:rsid w:val="007735EE"/>
    <w:rsid w:val="00773909"/>
    <w:rsid w:val="0077488E"/>
    <w:rsid w:val="00775947"/>
    <w:rsid w:val="00776595"/>
    <w:rsid w:val="00776D34"/>
    <w:rsid w:val="00776F95"/>
    <w:rsid w:val="0077704A"/>
    <w:rsid w:val="00780184"/>
    <w:rsid w:val="007824EB"/>
    <w:rsid w:val="00782AFE"/>
    <w:rsid w:val="00782DE3"/>
    <w:rsid w:val="00783533"/>
    <w:rsid w:val="00783624"/>
    <w:rsid w:val="0078443B"/>
    <w:rsid w:val="00784BCC"/>
    <w:rsid w:val="0078537B"/>
    <w:rsid w:val="00785405"/>
    <w:rsid w:val="0078591E"/>
    <w:rsid w:val="007862F8"/>
    <w:rsid w:val="00787466"/>
    <w:rsid w:val="00790163"/>
    <w:rsid w:val="007916A2"/>
    <w:rsid w:val="00792BD3"/>
    <w:rsid w:val="0079389C"/>
    <w:rsid w:val="00793E09"/>
    <w:rsid w:val="0079491E"/>
    <w:rsid w:val="00794D94"/>
    <w:rsid w:val="007952B8"/>
    <w:rsid w:val="0079554B"/>
    <w:rsid w:val="00796650"/>
    <w:rsid w:val="007A0055"/>
    <w:rsid w:val="007A027F"/>
    <w:rsid w:val="007A1FB1"/>
    <w:rsid w:val="007A25B2"/>
    <w:rsid w:val="007A278C"/>
    <w:rsid w:val="007A2B72"/>
    <w:rsid w:val="007A3DCC"/>
    <w:rsid w:val="007A4ABA"/>
    <w:rsid w:val="007A4AD0"/>
    <w:rsid w:val="007A56F2"/>
    <w:rsid w:val="007A6CDB"/>
    <w:rsid w:val="007A6D56"/>
    <w:rsid w:val="007A76D8"/>
    <w:rsid w:val="007B18A6"/>
    <w:rsid w:val="007B1D2F"/>
    <w:rsid w:val="007B1E00"/>
    <w:rsid w:val="007B2139"/>
    <w:rsid w:val="007B2582"/>
    <w:rsid w:val="007B27F7"/>
    <w:rsid w:val="007B2AC7"/>
    <w:rsid w:val="007B37E8"/>
    <w:rsid w:val="007B3A5C"/>
    <w:rsid w:val="007B3D1D"/>
    <w:rsid w:val="007B3F21"/>
    <w:rsid w:val="007B3FC6"/>
    <w:rsid w:val="007B491C"/>
    <w:rsid w:val="007B4CF8"/>
    <w:rsid w:val="007B5572"/>
    <w:rsid w:val="007B5964"/>
    <w:rsid w:val="007B60AC"/>
    <w:rsid w:val="007B6860"/>
    <w:rsid w:val="007B6A7C"/>
    <w:rsid w:val="007C0C7C"/>
    <w:rsid w:val="007C1BCB"/>
    <w:rsid w:val="007C1C0D"/>
    <w:rsid w:val="007C2D70"/>
    <w:rsid w:val="007C399C"/>
    <w:rsid w:val="007C45B7"/>
    <w:rsid w:val="007C4F04"/>
    <w:rsid w:val="007C56D1"/>
    <w:rsid w:val="007C672D"/>
    <w:rsid w:val="007C752F"/>
    <w:rsid w:val="007D100B"/>
    <w:rsid w:val="007D1455"/>
    <w:rsid w:val="007D23C3"/>
    <w:rsid w:val="007D3457"/>
    <w:rsid w:val="007D3969"/>
    <w:rsid w:val="007D3AE8"/>
    <w:rsid w:val="007D3C3D"/>
    <w:rsid w:val="007D48F6"/>
    <w:rsid w:val="007D6371"/>
    <w:rsid w:val="007D653C"/>
    <w:rsid w:val="007D7D4B"/>
    <w:rsid w:val="007D7F15"/>
    <w:rsid w:val="007E08CE"/>
    <w:rsid w:val="007E1D38"/>
    <w:rsid w:val="007E23A9"/>
    <w:rsid w:val="007E3D64"/>
    <w:rsid w:val="007E3D6B"/>
    <w:rsid w:val="007E4095"/>
    <w:rsid w:val="007E41F0"/>
    <w:rsid w:val="007E502C"/>
    <w:rsid w:val="007E5BAF"/>
    <w:rsid w:val="007E6D48"/>
    <w:rsid w:val="007E763C"/>
    <w:rsid w:val="007E79B9"/>
    <w:rsid w:val="007E7F8A"/>
    <w:rsid w:val="007F0A2F"/>
    <w:rsid w:val="007F0B3D"/>
    <w:rsid w:val="007F0BC9"/>
    <w:rsid w:val="007F1A3F"/>
    <w:rsid w:val="007F1B1F"/>
    <w:rsid w:val="007F23B5"/>
    <w:rsid w:val="007F2864"/>
    <w:rsid w:val="007F2942"/>
    <w:rsid w:val="007F368D"/>
    <w:rsid w:val="007F580D"/>
    <w:rsid w:val="007F58C3"/>
    <w:rsid w:val="007F5C27"/>
    <w:rsid w:val="007F6CB2"/>
    <w:rsid w:val="007F75E2"/>
    <w:rsid w:val="007F7FB4"/>
    <w:rsid w:val="00801ED9"/>
    <w:rsid w:val="008027B3"/>
    <w:rsid w:val="00803547"/>
    <w:rsid w:val="0080537E"/>
    <w:rsid w:val="00805E05"/>
    <w:rsid w:val="0080631B"/>
    <w:rsid w:val="0080788B"/>
    <w:rsid w:val="00812C2E"/>
    <w:rsid w:val="00813027"/>
    <w:rsid w:val="0081308D"/>
    <w:rsid w:val="00813360"/>
    <w:rsid w:val="00813C63"/>
    <w:rsid w:val="00813F97"/>
    <w:rsid w:val="00814952"/>
    <w:rsid w:val="00814965"/>
    <w:rsid w:val="008154AF"/>
    <w:rsid w:val="0081680D"/>
    <w:rsid w:val="00816F91"/>
    <w:rsid w:val="00817E4C"/>
    <w:rsid w:val="00817EF0"/>
    <w:rsid w:val="00820529"/>
    <w:rsid w:val="008206A9"/>
    <w:rsid w:val="008210C2"/>
    <w:rsid w:val="00821475"/>
    <w:rsid w:val="00822548"/>
    <w:rsid w:val="0082328E"/>
    <w:rsid w:val="00823308"/>
    <w:rsid w:val="00823674"/>
    <w:rsid w:val="00823872"/>
    <w:rsid w:val="00823967"/>
    <w:rsid w:val="0082595E"/>
    <w:rsid w:val="0082603B"/>
    <w:rsid w:val="00826164"/>
    <w:rsid w:val="00826491"/>
    <w:rsid w:val="008267AC"/>
    <w:rsid w:val="00826D2C"/>
    <w:rsid w:val="00827AAA"/>
    <w:rsid w:val="008301F3"/>
    <w:rsid w:val="0083103C"/>
    <w:rsid w:val="008315D4"/>
    <w:rsid w:val="00831884"/>
    <w:rsid w:val="00831A25"/>
    <w:rsid w:val="00831DC2"/>
    <w:rsid w:val="00832047"/>
    <w:rsid w:val="0083313B"/>
    <w:rsid w:val="008336D9"/>
    <w:rsid w:val="00833A9C"/>
    <w:rsid w:val="00833E14"/>
    <w:rsid w:val="00836421"/>
    <w:rsid w:val="00836C1D"/>
    <w:rsid w:val="00837D75"/>
    <w:rsid w:val="00840464"/>
    <w:rsid w:val="00840E0E"/>
    <w:rsid w:val="008411F3"/>
    <w:rsid w:val="00841465"/>
    <w:rsid w:val="00842285"/>
    <w:rsid w:val="0084238A"/>
    <w:rsid w:val="00842C2D"/>
    <w:rsid w:val="00842D11"/>
    <w:rsid w:val="00843712"/>
    <w:rsid w:val="0084427D"/>
    <w:rsid w:val="00845151"/>
    <w:rsid w:val="00845427"/>
    <w:rsid w:val="008457A9"/>
    <w:rsid w:val="00845BEA"/>
    <w:rsid w:val="00846682"/>
    <w:rsid w:val="00846988"/>
    <w:rsid w:val="00846AE8"/>
    <w:rsid w:val="008470CA"/>
    <w:rsid w:val="00847639"/>
    <w:rsid w:val="00847B18"/>
    <w:rsid w:val="00850641"/>
    <w:rsid w:val="008510F6"/>
    <w:rsid w:val="00851826"/>
    <w:rsid w:val="00852030"/>
    <w:rsid w:val="00852163"/>
    <w:rsid w:val="008524C1"/>
    <w:rsid w:val="0085259C"/>
    <w:rsid w:val="008528B0"/>
    <w:rsid w:val="0085327D"/>
    <w:rsid w:val="00853377"/>
    <w:rsid w:val="0085458F"/>
    <w:rsid w:val="008553FE"/>
    <w:rsid w:val="008554C6"/>
    <w:rsid w:val="00856857"/>
    <w:rsid w:val="00857A61"/>
    <w:rsid w:val="0086009C"/>
    <w:rsid w:val="00860195"/>
    <w:rsid w:val="00861A99"/>
    <w:rsid w:val="00862095"/>
    <w:rsid w:val="008622AD"/>
    <w:rsid w:val="00862643"/>
    <w:rsid w:val="00862E47"/>
    <w:rsid w:val="00863285"/>
    <w:rsid w:val="0086347B"/>
    <w:rsid w:val="00863779"/>
    <w:rsid w:val="00863A76"/>
    <w:rsid w:val="00863BD2"/>
    <w:rsid w:val="008641C0"/>
    <w:rsid w:val="00864BFA"/>
    <w:rsid w:val="00864F0B"/>
    <w:rsid w:val="008658BC"/>
    <w:rsid w:val="00866D56"/>
    <w:rsid w:val="008672A9"/>
    <w:rsid w:val="00867BB8"/>
    <w:rsid w:val="008717DE"/>
    <w:rsid w:val="00872682"/>
    <w:rsid w:val="00872A83"/>
    <w:rsid w:val="00872F0E"/>
    <w:rsid w:val="00874C4D"/>
    <w:rsid w:val="008755E8"/>
    <w:rsid w:val="008763C5"/>
    <w:rsid w:val="00877D1A"/>
    <w:rsid w:val="00877FF3"/>
    <w:rsid w:val="00880202"/>
    <w:rsid w:val="008809D2"/>
    <w:rsid w:val="00881AB8"/>
    <w:rsid w:val="00882625"/>
    <w:rsid w:val="00882705"/>
    <w:rsid w:val="00883166"/>
    <w:rsid w:val="008835AB"/>
    <w:rsid w:val="008838E1"/>
    <w:rsid w:val="00884219"/>
    <w:rsid w:val="00885A26"/>
    <w:rsid w:val="008864D0"/>
    <w:rsid w:val="00886CE3"/>
    <w:rsid w:val="00890BC9"/>
    <w:rsid w:val="00890D79"/>
    <w:rsid w:val="008918B9"/>
    <w:rsid w:val="00892684"/>
    <w:rsid w:val="008945D0"/>
    <w:rsid w:val="008953C6"/>
    <w:rsid w:val="0089567A"/>
    <w:rsid w:val="00896226"/>
    <w:rsid w:val="0089679E"/>
    <w:rsid w:val="008978FD"/>
    <w:rsid w:val="008A01D9"/>
    <w:rsid w:val="008A16F6"/>
    <w:rsid w:val="008A18DE"/>
    <w:rsid w:val="008A2567"/>
    <w:rsid w:val="008A263B"/>
    <w:rsid w:val="008A2E8C"/>
    <w:rsid w:val="008A3246"/>
    <w:rsid w:val="008A3622"/>
    <w:rsid w:val="008A3EF7"/>
    <w:rsid w:val="008A4070"/>
    <w:rsid w:val="008A408C"/>
    <w:rsid w:val="008A51EE"/>
    <w:rsid w:val="008A53A4"/>
    <w:rsid w:val="008A640A"/>
    <w:rsid w:val="008A64D3"/>
    <w:rsid w:val="008A6925"/>
    <w:rsid w:val="008A6B6B"/>
    <w:rsid w:val="008A7375"/>
    <w:rsid w:val="008A7E20"/>
    <w:rsid w:val="008A7ED9"/>
    <w:rsid w:val="008A7F06"/>
    <w:rsid w:val="008B03C2"/>
    <w:rsid w:val="008B3C62"/>
    <w:rsid w:val="008B3D6E"/>
    <w:rsid w:val="008B4116"/>
    <w:rsid w:val="008B481D"/>
    <w:rsid w:val="008B4EDA"/>
    <w:rsid w:val="008B56F6"/>
    <w:rsid w:val="008B6199"/>
    <w:rsid w:val="008B7814"/>
    <w:rsid w:val="008B7F85"/>
    <w:rsid w:val="008C05DA"/>
    <w:rsid w:val="008C1098"/>
    <w:rsid w:val="008C1C25"/>
    <w:rsid w:val="008C1F29"/>
    <w:rsid w:val="008C2AB3"/>
    <w:rsid w:val="008C2FF0"/>
    <w:rsid w:val="008C3AD2"/>
    <w:rsid w:val="008C3B49"/>
    <w:rsid w:val="008C492A"/>
    <w:rsid w:val="008C4C32"/>
    <w:rsid w:val="008C5740"/>
    <w:rsid w:val="008C6366"/>
    <w:rsid w:val="008C63B3"/>
    <w:rsid w:val="008C6960"/>
    <w:rsid w:val="008C7126"/>
    <w:rsid w:val="008C7FDF"/>
    <w:rsid w:val="008D0076"/>
    <w:rsid w:val="008D0802"/>
    <w:rsid w:val="008D1D77"/>
    <w:rsid w:val="008D2003"/>
    <w:rsid w:val="008D2309"/>
    <w:rsid w:val="008D2470"/>
    <w:rsid w:val="008D2DAB"/>
    <w:rsid w:val="008D2E2D"/>
    <w:rsid w:val="008D4354"/>
    <w:rsid w:val="008D4692"/>
    <w:rsid w:val="008D46DD"/>
    <w:rsid w:val="008D4C9C"/>
    <w:rsid w:val="008D58AD"/>
    <w:rsid w:val="008D603A"/>
    <w:rsid w:val="008D7616"/>
    <w:rsid w:val="008D7F74"/>
    <w:rsid w:val="008E06AF"/>
    <w:rsid w:val="008E211D"/>
    <w:rsid w:val="008E217B"/>
    <w:rsid w:val="008E22D2"/>
    <w:rsid w:val="008E25B2"/>
    <w:rsid w:val="008E2E0A"/>
    <w:rsid w:val="008E4676"/>
    <w:rsid w:val="008E4747"/>
    <w:rsid w:val="008E563D"/>
    <w:rsid w:val="008E64AE"/>
    <w:rsid w:val="008F0BAE"/>
    <w:rsid w:val="008F154A"/>
    <w:rsid w:val="008F185E"/>
    <w:rsid w:val="008F1F2A"/>
    <w:rsid w:val="008F27E5"/>
    <w:rsid w:val="008F2AA9"/>
    <w:rsid w:val="008F34E8"/>
    <w:rsid w:val="008F37E8"/>
    <w:rsid w:val="008F382F"/>
    <w:rsid w:val="008F3CBC"/>
    <w:rsid w:val="008F4B9F"/>
    <w:rsid w:val="008F4CE7"/>
    <w:rsid w:val="008F4E05"/>
    <w:rsid w:val="008F544F"/>
    <w:rsid w:val="008F6A9B"/>
    <w:rsid w:val="008F6D8E"/>
    <w:rsid w:val="008F6F60"/>
    <w:rsid w:val="008F7F5B"/>
    <w:rsid w:val="0090058D"/>
    <w:rsid w:val="0090118B"/>
    <w:rsid w:val="00901776"/>
    <w:rsid w:val="00901DCC"/>
    <w:rsid w:val="00901F84"/>
    <w:rsid w:val="009023AF"/>
    <w:rsid w:val="00902472"/>
    <w:rsid w:val="00902560"/>
    <w:rsid w:val="00903660"/>
    <w:rsid w:val="00906936"/>
    <w:rsid w:val="00906D77"/>
    <w:rsid w:val="00906E02"/>
    <w:rsid w:val="009078E9"/>
    <w:rsid w:val="0091000A"/>
    <w:rsid w:val="00910F47"/>
    <w:rsid w:val="00911821"/>
    <w:rsid w:val="0091220A"/>
    <w:rsid w:val="00912364"/>
    <w:rsid w:val="0091292F"/>
    <w:rsid w:val="00913560"/>
    <w:rsid w:val="009137B4"/>
    <w:rsid w:val="009140D2"/>
    <w:rsid w:val="00914C1C"/>
    <w:rsid w:val="00914C6D"/>
    <w:rsid w:val="00914FBF"/>
    <w:rsid w:val="00915E71"/>
    <w:rsid w:val="0091718B"/>
    <w:rsid w:val="0091754B"/>
    <w:rsid w:val="00917AE8"/>
    <w:rsid w:val="00917B51"/>
    <w:rsid w:val="00917DB3"/>
    <w:rsid w:val="00922E8C"/>
    <w:rsid w:val="00922EF6"/>
    <w:rsid w:val="009255B8"/>
    <w:rsid w:val="00925670"/>
    <w:rsid w:val="0092651B"/>
    <w:rsid w:val="00926742"/>
    <w:rsid w:val="00927705"/>
    <w:rsid w:val="00930806"/>
    <w:rsid w:val="009310AE"/>
    <w:rsid w:val="009321C2"/>
    <w:rsid w:val="00932920"/>
    <w:rsid w:val="0093314A"/>
    <w:rsid w:val="0093337E"/>
    <w:rsid w:val="00933566"/>
    <w:rsid w:val="009338C6"/>
    <w:rsid w:val="009341E4"/>
    <w:rsid w:val="00934217"/>
    <w:rsid w:val="00934EA9"/>
    <w:rsid w:val="0093512B"/>
    <w:rsid w:val="00935B00"/>
    <w:rsid w:val="0093613C"/>
    <w:rsid w:val="0093655A"/>
    <w:rsid w:val="009373E7"/>
    <w:rsid w:val="009377D2"/>
    <w:rsid w:val="00940F29"/>
    <w:rsid w:val="009413D0"/>
    <w:rsid w:val="009423A9"/>
    <w:rsid w:val="0094249E"/>
    <w:rsid w:val="009425C6"/>
    <w:rsid w:val="00942FC9"/>
    <w:rsid w:val="00943115"/>
    <w:rsid w:val="00943C4B"/>
    <w:rsid w:val="00944728"/>
    <w:rsid w:val="00944F9E"/>
    <w:rsid w:val="009464B6"/>
    <w:rsid w:val="00947EEF"/>
    <w:rsid w:val="00951479"/>
    <w:rsid w:val="00951552"/>
    <w:rsid w:val="00952247"/>
    <w:rsid w:val="0095229D"/>
    <w:rsid w:val="009528B8"/>
    <w:rsid w:val="00952BB3"/>
    <w:rsid w:val="00952DC7"/>
    <w:rsid w:val="00954261"/>
    <w:rsid w:val="00955D51"/>
    <w:rsid w:val="00960117"/>
    <w:rsid w:val="00960C48"/>
    <w:rsid w:val="00961D2F"/>
    <w:rsid w:val="00961F55"/>
    <w:rsid w:val="00962272"/>
    <w:rsid w:val="009622DD"/>
    <w:rsid w:val="00963B03"/>
    <w:rsid w:val="00963B25"/>
    <w:rsid w:val="00964523"/>
    <w:rsid w:val="00964DEF"/>
    <w:rsid w:val="009663AD"/>
    <w:rsid w:val="00966843"/>
    <w:rsid w:val="00966BDF"/>
    <w:rsid w:val="00967093"/>
    <w:rsid w:val="009677BA"/>
    <w:rsid w:val="009701BF"/>
    <w:rsid w:val="00971409"/>
    <w:rsid w:val="009718CF"/>
    <w:rsid w:val="009722C1"/>
    <w:rsid w:val="0097273E"/>
    <w:rsid w:val="00972F6F"/>
    <w:rsid w:val="00973736"/>
    <w:rsid w:val="00973B16"/>
    <w:rsid w:val="009746B3"/>
    <w:rsid w:val="00975E95"/>
    <w:rsid w:val="00976085"/>
    <w:rsid w:val="009765C1"/>
    <w:rsid w:val="0097723B"/>
    <w:rsid w:val="0097776C"/>
    <w:rsid w:val="00980744"/>
    <w:rsid w:val="00980D10"/>
    <w:rsid w:val="00980D68"/>
    <w:rsid w:val="00980F82"/>
    <w:rsid w:val="009818B5"/>
    <w:rsid w:val="00981F24"/>
    <w:rsid w:val="009825AF"/>
    <w:rsid w:val="00982A51"/>
    <w:rsid w:val="009830DF"/>
    <w:rsid w:val="00983107"/>
    <w:rsid w:val="00983899"/>
    <w:rsid w:val="00984590"/>
    <w:rsid w:val="00985E65"/>
    <w:rsid w:val="00985FA7"/>
    <w:rsid w:val="00986BAD"/>
    <w:rsid w:val="00987480"/>
    <w:rsid w:val="0099017E"/>
    <w:rsid w:val="0099024B"/>
    <w:rsid w:val="00990E16"/>
    <w:rsid w:val="0099290D"/>
    <w:rsid w:val="00992E45"/>
    <w:rsid w:val="0099488C"/>
    <w:rsid w:val="00994D79"/>
    <w:rsid w:val="00994E5D"/>
    <w:rsid w:val="0099574F"/>
    <w:rsid w:val="009969AD"/>
    <w:rsid w:val="00996D60"/>
    <w:rsid w:val="00996E13"/>
    <w:rsid w:val="00997E1A"/>
    <w:rsid w:val="009A0A46"/>
    <w:rsid w:val="009A254C"/>
    <w:rsid w:val="009A285C"/>
    <w:rsid w:val="009A2A6E"/>
    <w:rsid w:val="009A3E87"/>
    <w:rsid w:val="009A4804"/>
    <w:rsid w:val="009A4DF0"/>
    <w:rsid w:val="009A5323"/>
    <w:rsid w:val="009A5A33"/>
    <w:rsid w:val="009A5B2B"/>
    <w:rsid w:val="009A5EF7"/>
    <w:rsid w:val="009A6940"/>
    <w:rsid w:val="009B0417"/>
    <w:rsid w:val="009B071B"/>
    <w:rsid w:val="009B0F3F"/>
    <w:rsid w:val="009B1160"/>
    <w:rsid w:val="009B18DA"/>
    <w:rsid w:val="009B2CE5"/>
    <w:rsid w:val="009B4A1C"/>
    <w:rsid w:val="009B5DF9"/>
    <w:rsid w:val="009B5F9A"/>
    <w:rsid w:val="009B689D"/>
    <w:rsid w:val="009B68B3"/>
    <w:rsid w:val="009B6CD2"/>
    <w:rsid w:val="009B6FC1"/>
    <w:rsid w:val="009B70A1"/>
    <w:rsid w:val="009B7A22"/>
    <w:rsid w:val="009C1AEB"/>
    <w:rsid w:val="009C295C"/>
    <w:rsid w:val="009C2E4F"/>
    <w:rsid w:val="009C2FC7"/>
    <w:rsid w:val="009C3FEC"/>
    <w:rsid w:val="009C4551"/>
    <w:rsid w:val="009C4618"/>
    <w:rsid w:val="009C51E1"/>
    <w:rsid w:val="009C5F6D"/>
    <w:rsid w:val="009C6C2A"/>
    <w:rsid w:val="009C7772"/>
    <w:rsid w:val="009C7819"/>
    <w:rsid w:val="009D17A0"/>
    <w:rsid w:val="009D19C1"/>
    <w:rsid w:val="009D1B70"/>
    <w:rsid w:val="009D2273"/>
    <w:rsid w:val="009D285C"/>
    <w:rsid w:val="009D2C40"/>
    <w:rsid w:val="009D3553"/>
    <w:rsid w:val="009D3AC4"/>
    <w:rsid w:val="009D3E2C"/>
    <w:rsid w:val="009D45A6"/>
    <w:rsid w:val="009D4D88"/>
    <w:rsid w:val="009D6B4E"/>
    <w:rsid w:val="009D71CC"/>
    <w:rsid w:val="009E0443"/>
    <w:rsid w:val="009E0D1A"/>
    <w:rsid w:val="009E1B4D"/>
    <w:rsid w:val="009E24E0"/>
    <w:rsid w:val="009E3EA3"/>
    <w:rsid w:val="009E3F82"/>
    <w:rsid w:val="009E5F8C"/>
    <w:rsid w:val="009E6377"/>
    <w:rsid w:val="009E70A2"/>
    <w:rsid w:val="009E76D0"/>
    <w:rsid w:val="009E776E"/>
    <w:rsid w:val="009E7877"/>
    <w:rsid w:val="009E7933"/>
    <w:rsid w:val="009F076D"/>
    <w:rsid w:val="009F0D61"/>
    <w:rsid w:val="009F138B"/>
    <w:rsid w:val="009F14FC"/>
    <w:rsid w:val="009F1736"/>
    <w:rsid w:val="009F1D52"/>
    <w:rsid w:val="009F23A7"/>
    <w:rsid w:val="009F348B"/>
    <w:rsid w:val="009F3AF1"/>
    <w:rsid w:val="009F40F1"/>
    <w:rsid w:val="009F5385"/>
    <w:rsid w:val="009F68D9"/>
    <w:rsid w:val="009F71FF"/>
    <w:rsid w:val="009F7AAE"/>
    <w:rsid w:val="009F7B04"/>
    <w:rsid w:val="009F7E56"/>
    <w:rsid w:val="009F7FFE"/>
    <w:rsid w:val="00A00DC9"/>
    <w:rsid w:val="00A0253F"/>
    <w:rsid w:val="00A02A3B"/>
    <w:rsid w:val="00A02B5B"/>
    <w:rsid w:val="00A03C74"/>
    <w:rsid w:val="00A04406"/>
    <w:rsid w:val="00A046D8"/>
    <w:rsid w:val="00A04867"/>
    <w:rsid w:val="00A05153"/>
    <w:rsid w:val="00A059A9"/>
    <w:rsid w:val="00A05ACE"/>
    <w:rsid w:val="00A106FD"/>
    <w:rsid w:val="00A12CF7"/>
    <w:rsid w:val="00A12F97"/>
    <w:rsid w:val="00A15242"/>
    <w:rsid w:val="00A16CE4"/>
    <w:rsid w:val="00A16DD8"/>
    <w:rsid w:val="00A17B4E"/>
    <w:rsid w:val="00A17F22"/>
    <w:rsid w:val="00A20C01"/>
    <w:rsid w:val="00A21C51"/>
    <w:rsid w:val="00A2297B"/>
    <w:rsid w:val="00A22B3D"/>
    <w:rsid w:val="00A23C29"/>
    <w:rsid w:val="00A2448F"/>
    <w:rsid w:val="00A25691"/>
    <w:rsid w:val="00A256DB"/>
    <w:rsid w:val="00A30FEC"/>
    <w:rsid w:val="00A319E1"/>
    <w:rsid w:val="00A31F2B"/>
    <w:rsid w:val="00A3293A"/>
    <w:rsid w:val="00A32A94"/>
    <w:rsid w:val="00A33513"/>
    <w:rsid w:val="00A3351B"/>
    <w:rsid w:val="00A336DD"/>
    <w:rsid w:val="00A34148"/>
    <w:rsid w:val="00A34200"/>
    <w:rsid w:val="00A34ED9"/>
    <w:rsid w:val="00A35F05"/>
    <w:rsid w:val="00A3709F"/>
    <w:rsid w:val="00A37420"/>
    <w:rsid w:val="00A37C78"/>
    <w:rsid w:val="00A4044B"/>
    <w:rsid w:val="00A41BBE"/>
    <w:rsid w:val="00A42154"/>
    <w:rsid w:val="00A42B6B"/>
    <w:rsid w:val="00A42D2F"/>
    <w:rsid w:val="00A43592"/>
    <w:rsid w:val="00A43EEE"/>
    <w:rsid w:val="00A440F6"/>
    <w:rsid w:val="00A44304"/>
    <w:rsid w:val="00A44319"/>
    <w:rsid w:val="00A44424"/>
    <w:rsid w:val="00A44BA3"/>
    <w:rsid w:val="00A44CF8"/>
    <w:rsid w:val="00A45C7D"/>
    <w:rsid w:val="00A462C7"/>
    <w:rsid w:val="00A464A9"/>
    <w:rsid w:val="00A46DE7"/>
    <w:rsid w:val="00A4776E"/>
    <w:rsid w:val="00A479E4"/>
    <w:rsid w:val="00A510CB"/>
    <w:rsid w:val="00A512FF"/>
    <w:rsid w:val="00A515F1"/>
    <w:rsid w:val="00A517B2"/>
    <w:rsid w:val="00A51CBF"/>
    <w:rsid w:val="00A51CDB"/>
    <w:rsid w:val="00A51F04"/>
    <w:rsid w:val="00A52049"/>
    <w:rsid w:val="00A52E53"/>
    <w:rsid w:val="00A5300E"/>
    <w:rsid w:val="00A5344E"/>
    <w:rsid w:val="00A546F9"/>
    <w:rsid w:val="00A54A3A"/>
    <w:rsid w:val="00A54A71"/>
    <w:rsid w:val="00A54A94"/>
    <w:rsid w:val="00A54EF2"/>
    <w:rsid w:val="00A54F56"/>
    <w:rsid w:val="00A57AE4"/>
    <w:rsid w:val="00A57B4E"/>
    <w:rsid w:val="00A57DD2"/>
    <w:rsid w:val="00A57F3B"/>
    <w:rsid w:val="00A60EC8"/>
    <w:rsid w:val="00A61CB4"/>
    <w:rsid w:val="00A61DB4"/>
    <w:rsid w:val="00A61F8D"/>
    <w:rsid w:val="00A6203C"/>
    <w:rsid w:val="00A6251D"/>
    <w:rsid w:val="00A635B2"/>
    <w:rsid w:val="00A63901"/>
    <w:rsid w:val="00A64CBC"/>
    <w:rsid w:val="00A6546C"/>
    <w:rsid w:val="00A6643C"/>
    <w:rsid w:val="00A703B0"/>
    <w:rsid w:val="00A70B72"/>
    <w:rsid w:val="00A71CA1"/>
    <w:rsid w:val="00A7278E"/>
    <w:rsid w:val="00A749C9"/>
    <w:rsid w:val="00A74EEF"/>
    <w:rsid w:val="00A75269"/>
    <w:rsid w:val="00A763AF"/>
    <w:rsid w:val="00A763FF"/>
    <w:rsid w:val="00A771CB"/>
    <w:rsid w:val="00A772B3"/>
    <w:rsid w:val="00A77AB1"/>
    <w:rsid w:val="00A81DEE"/>
    <w:rsid w:val="00A840E5"/>
    <w:rsid w:val="00A8487E"/>
    <w:rsid w:val="00A848FC"/>
    <w:rsid w:val="00A84B7C"/>
    <w:rsid w:val="00A85BF9"/>
    <w:rsid w:val="00A8651A"/>
    <w:rsid w:val="00A87228"/>
    <w:rsid w:val="00A873AF"/>
    <w:rsid w:val="00A87706"/>
    <w:rsid w:val="00A87783"/>
    <w:rsid w:val="00A87DA7"/>
    <w:rsid w:val="00A90ACD"/>
    <w:rsid w:val="00A90F80"/>
    <w:rsid w:val="00A91A74"/>
    <w:rsid w:val="00A946B2"/>
    <w:rsid w:val="00A94F8B"/>
    <w:rsid w:val="00A97EDD"/>
    <w:rsid w:val="00AA03AD"/>
    <w:rsid w:val="00AA0517"/>
    <w:rsid w:val="00AA143C"/>
    <w:rsid w:val="00AA16A5"/>
    <w:rsid w:val="00AA32B9"/>
    <w:rsid w:val="00AA48E4"/>
    <w:rsid w:val="00AA4AC0"/>
    <w:rsid w:val="00AA5B7F"/>
    <w:rsid w:val="00AA687B"/>
    <w:rsid w:val="00AA6F05"/>
    <w:rsid w:val="00AA73DF"/>
    <w:rsid w:val="00AA7BB2"/>
    <w:rsid w:val="00AB006D"/>
    <w:rsid w:val="00AB089D"/>
    <w:rsid w:val="00AB09F0"/>
    <w:rsid w:val="00AB19B3"/>
    <w:rsid w:val="00AB1D56"/>
    <w:rsid w:val="00AB23C3"/>
    <w:rsid w:val="00AB2A4E"/>
    <w:rsid w:val="00AB3E5B"/>
    <w:rsid w:val="00AB41A8"/>
    <w:rsid w:val="00AB5700"/>
    <w:rsid w:val="00AB590D"/>
    <w:rsid w:val="00AB6914"/>
    <w:rsid w:val="00AB6A0E"/>
    <w:rsid w:val="00AB7A6E"/>
    <w:rsid w:val="00AC0912"/>
    <w:rsid w:val="00AC1BB8"/>
    <w:rsid w:val="00AC2B06"/>
    <w:rsid w:val="00AC2EFB"/>
    <w:rsid w:val="00AC45F7"/>
    <w:rsid w:val="00AC4821"/>
    <w:rsid w:val="00AC48F6"/>
    <w:rsid w:val="00AC4EF3"/>
    <w:rsid w:val="00AC5007"/>
    <w:rsid w:val="00AC5B34"/>
    <w:rsid w:val="00AC5FD3"/>
    <w:rsid w:val="00AC61B8"/>
    <w:rsid w:val="00AC6583"/>
    <w:rsid w:val="00AC777B"/>
    <w:rsid w:val="00AC7C19"/>
    <w:rsid w:val="00AD0A11"/>
    <w:rsid w:val="00AD10D8"/>
    <w:rsid w:val="00AD1A72"/>
    <w:rsid w:val="00AD2980"/>
    <w:rsid w:val="00AD515B"/>
    <w:rsid w:val="00AD705C"/>
    <w:rsid w:val="00AD71CA"/>
    <w:rsid w:val="00AD7E9E"/>
    <w:rsid w:val="00AE07F3"/>
    <w:rsid w:val="00AE0D5A"/>
    <w:rsid w:val="00AE118D"/>
    <w:rsid w:val="00AE1749"/>
    <w:rsid w:val="00AE174D"/>
    <w:rsid w:val="00AE185A"/>
    <w:rsid w:val="00AE28B8"/>
    <w:rsid w:val="00AE295F"/>
    <w:rsid w:val="00AE3298"/>
    <w:rsid w:val="00AE377A"/>
    <w:rsid w:val="00AE44BD"/>
    <w:rsid w:val="00AE5825"/>
    <w:rsid w:val="00AE6279"/>
    <w:rsid w:val="00AE63A0"/>
    <w:rsid w:val="00AE6CF6"/>
    <w:rsid w:val="00AE7D3B"/>
    <w:rsid w:val="00AE7EBD"/>
    <w:rsid w:val="00AF01B4"/>
    <w:rsid w:val="00AF05AC"/>
    <w:rsid w:val="00AF0DA2"/>
    <w:rsid w:val="00AF151D"/>
    <w:rsid w:val="00AF1BF6"/>
    <w:rsid w:val="00AF1DA8"/>
    <w:rsid w:val="00AF2B15"/>
    <w:rsid w:val="00AF350F"/>
    <w:rsid w:val="00AF3573"/>
    <w:rsid w:val="00AF39AD"/>
    <w:rsid w:val="00AF48B2"/>
    <w:rsid w:val="00AF4BB0"/>
    <w:rsid w:val="00AF4C2A"/>
    <w:rsid w:val="00AF4FD4"/>
    <w:rsid w:val="00AF565C"/>
    <w:rsid w:val="00AF56DC"/>
    <w:rsid w:val="00AF59A5"/>
    <w:rsid w:val="00AF5AD3"/>
    <w:rsid w:val="00AF5C4A"/>
    <w:rsid w:val="00AF5F4E"/>
    <w:rsid w:val="00AF6F4F"/>
    <w:rsid w:val="00AF73FD"/>
    <w:rsid w:val="00AF79D4"/>
    <w:rsid w:val="00AF7B34"/>
    <w:rsid w:val="00B005E9"/>
    <w:rsid w:val="00B0460B"/>
    <w:rsid w:val="00B05D2D"/>
    <w:rsid w:val="00B05D34"/>
    <w:rsid w:val="00B07F2A"/>
    <w:rsid w:val="00B1039E"/>
    <w:rsid w:val="00B10CF2"/>
    <w:rsid w:val="00B111CB"/>
    <w:rsid w:val="00B11AA7"/>
    <w:rsid w:val="00B11F9B"/>
    <w:rsid w:val="00B11FAF"/>
    <w:rsid w:val="00B11FB5"/>
    <w:rsid w:val="00B12431"/>
    <w:rsid w:val="00B125BD"/>
    <w:rsid w:val="00B1271C"/>
    <w:rsid w:val="00B12808"/>
    <w:rsid w:val="00B135A0"/>
    <w:rsid w:val="00B13A06"/>
    <w:rsid w:val="00B14F3A"/>
    <w:rsid w:val="00B15182"/>
    <w:rsid w:val="00B15230"/>
    <w:rsid w:val="00B154D6"/>
    <w:rsid w:val="00B1589D"/>
    <w:rsid w:val="00B165A2"/>
    <w:rsid w:val="00B1666D"/>
    <w:rsid w:val="00B175BA"/>
    <w:rsid w:val="00B20258"/>
    <w:rsid w:val="00B20818"/>
    <w:rsid w:val="00B20DD7"/>
    <w:rsid w:val="00B20F57"/>
    <w:rsid w:val="00B21CEF"/>
    <w:rsid w:val="00B221CB"/>
    <w:rsid w:val="00B23B4B"/>
    <w:rsid w:val="00B24913"/>
    <w:rsid w:val="00B24ACD"/>
    <w:rsid w:val="00B25C2D"/>
    <w:rsid w:val="00B26590"/>
    <w:rsid w:val="00B26A6C"/>
    <w:rsid w:val="00B27630"/>
    <w:rsid w:val="00B279F2"/>
    <w:rsid w:val="00B32373"/>
    <w:rsid w:val="00B32407"/>
    <w:rsid w:val="00B331E7"/>
    <w:rsid w:val="00B33A8B"/>
    <w:rsid w:val="00B34141"/>
    <w:rsid w:val="00B35272"/>
    <w:rsid w:val="00B37C4C"/>
    <w:rsid w:val="00B40B70"/>
    <w:rsid w:val="00B424EC"/>
    <w:rsid w:val="00B42B4C"/>
    <w:rsid w:val="00B45B8B"/>
    <w:rsid w:val="00B50044"/>
    <w:rsid w:val="00B506EC"/>
    <w:rsid w:val="00B50983"/>
    <w:rsid w:val="00B50DC8"/>
    <w:rsid w:val="00B520F8"/>
    <w:rsid w:val="00B5289C"/>
    <w:rsid w:val="00B54C22"/>
    <w:rsid w:val="00B5567A"/>
    <w:rsid w:val="00B561A6"/>
    <w:rsid w:val="00B561B5"/>
    <w:rsid w:val="00B56398"/>
    <w:rsid w:val="00B56E20"/>
    <w:rsid w:val="00B57912"/>
    <w:rsid w:val="00B57EC0"/>
    <w:rsid w:val="00B60642"/>
    <w:rsid w:val="00B60901"/>
    <w:rsid w:val="00B6154E"/>
    <w:rsid w:val="00B617B1"/>
    <w:rsid w:val="00B627F8"/>
    <w:rsid w:val="00B632AA"/>
    <w:rsid w:val="00B6338A"/>
    <w:rsid w:val="00B635A5"/>
    <w:rsid w:val="00B637CD"/>
    <w:rsid w:val="00B63829"/>
    <w:rsid w:val="00B64318"/>
    <w:rsid w:val="00B655F3"/>
    <w:rsid w:val="00B65BFA"/>
    <w:rsid w:val="00B65C60"/>
    <w:rsid w:val="00B66A13"/>
    <w:rsid w:val="00B67144"/>
    <w:rsid w:val="00B6766A"/>
    <w:rsid w:val="00B678B0"/>
    <w:rsid w:val="00B679B1"/>
    <w:rsid w:val="00B679BE"/>
    <w:rsid w:val="00B67B76"/>
    <w:rsid w:val="00B67F80"/>
    <w:rsid w:val="00B70FF3"/>
    <w:rsid w:val="00B71303"/>
    <w:rsid w:val="00B7248A"/>
    <w:rsid w:val="00B72653"/>
    <w:rsid w:val="00B72710"/>
    <w:rsid w:val="00B729B2"/>
    <w:rsid w:val="00B737DD"/>
    <w:rsid w:val="00B75261"/>
    <w:rsid w:val="00B757AF"/>
    <w:rsid w:val="00B757ED"/>
    <w:rsid w:val="00B777CB"/>
    <w:rsid w:val="00B81E9C"/>
    <w:rsid w:val="00B830C8"/>
    <w:rsid w:val="00B833FD"/>
    <w:rsid w:val="00B83EA1"/>
    <w:rsid w:val="00B84D1E"/>
    <w:rsid w:val="00B8592D"/>
    <w:rsid w:val="00B863DC"/>
    <w:rsid w:val="00B86411"/>
    <w:rsid w:val="00B87A86"/>
    <w:rsid w:val="00B916EB"/>
    <w:rsid w:val="00B91846"/>
    <w:rsid w:val="00B92156"/>
    <w:rsid w:val="00B92869"/>
    <w:rsid w:val="00B93110"/>
    <w:rsid w:val="00B94917"/>
    <w:rsid w:val="00B95B4F"/>
    <w:rsid w:val="00B97F26"/>
    <w:rsid w:val="00BA01B2"/>
    <w:rsid w:val="00BA068C"/>
    <w:rsid w:val="00BA0858"/>
    <w:rsid w:val="00BA0A5F"/>
    <w:rsid w:val="00BA1595"/>
    <w:rsid w:val="00BA2B93"/>
    <w:rsid w:val="00BA2E0E"/>
    <w:rsid w:val="00BA3329"/>
    <w:rsid w:val="00BA3D34"/>
    <w:rsid w:val="00BA489A"/>
    <w:rsid w:val="00BA51DF"/>
    <w:rsid w:val="00BA657C"/>
    <w:rsid w:val="00BA7F30"/>
    <w:rsid w:val="00BA7F97"/>
    <w:rsid w:val="00BB02DF"/>
    <w:rsid w:val="00BB045B"/>
    <w:rsid w:val="00BB1CB2"/>
    <w:rsid w:val="00BB2B92"/>
    <w:rsid w:val="00BB2C5B"/>
    <w:rsid w:val="00BB3126"/>
    <w:rsid w:val="00BB36CE"/>
    <w:rsid w:val="00BB3A46"/>
    <w:rsid w:val="00BB42AA"/>
    <w:rsid w:val="00BB4FEF"/>
    <w:rsid w:val="00BB5ECB"/>
    <w:rsid w:val="00BB5FD3"/>
    <w:rsid w:val="00BB68B6"/>
    <w:rsid w:val="00BC034C"/>
    <w:rsid w:val="00BC070D"/>
    <w:rsid w:val="00BC190F"/>
    <w:rsid w:val="00BC1C0B"/>
    <w:rsid w:val="00BC225F"/>
    <w:rsid w:val="00BC3490"/>
    <w:rsid w:val="00BC55EC"/>
    <w:rsid w:val="00BC5D11"/>
    <w:rsid w:val="00BC671A"/>
    <w:rsid w:val="00BC7776"/>
    <w:rsid w:val="00BD001A"/>
    <w:rsid w:val="00BD03F6"/>
    <w:rsid w:val="00BD13D1"/>
    <w:rsid w:val="00BD1CDA"/>
    <w:rsid w:val="00BD215E"/>
    <w:rsid w:val="00BD2539"/>
    <w:rsid w:val="00BD3403"/>
    <w:rsid w:val="00BD36C3"/>
    <w:rsid w:val="00BD4ACC"/>
    <w:rsid w:val="00BD5128"/>
    <w:rsid w:val="00BD5666"/>
    <w:rsid w:val="00BD56E5"/>
    <w:rsid w:val="00BD57DF"/>
    <w:rsid w:val="00BD7544"/>
    <w:rsid w:val="00BE2457"/>
    <w:rsid w:val="00BE2608"/>
    <w:rsid w:val="00BE3415"/>
    <w:rsid w:val="00BE423E"/>
    <w:rsid w:val="00BE4A09"/>
    <w:rsid w:val="00BE4A63"/>
    <w:rsid w:val="00BE5052"/>
    <w:rsid w:val="00BE52DC"/>
    <w:rsid w:val="00BE62D5"/>
    <w:rsid w:val="00BE65CE"/>
    <w:rsid w:val="00BE737D"/>
    <w:rsid w:val="00BE7F78"/>
    <w:rsid w:val="00BF000F"/>
    <w:rsid w:val="00BF14C1"/>
    <w:rsid w:val="00BF1609"/>
    <w:rsid w:val="00BF19E5"/>
    <w:rsid w:val="00BF1BDB"/>
    <w:rsid w:val="00BF3336"/>
    <w:rsid w:val="00BF3DDF"/>
    <w:rsid w:val="00BF3EC6"/>
    <w:rsid w:val="00BF406D"/>
    <w:rsid w:val="00BF45AF"/>
    <w:rsid w:val="00BF4680"/>
    <w:rsid w:val="00BF5403"/>
    <w:rsid w:val="00BF5772"/>
    <w:rsid w:val="00BF5913"/>
    <w:rsid w:val="00BF5A2F"/>
    <w:rsid w:val="00BF7855"/>
    <w:rsid w:val="00BF79D8"/>
    <w:rsid w:val="00C008F4"/>
    <w:rsid w:val="00C010A0"/>
    <w:rsid w:val="00C01F29"/>
    <w:rsid w:val="00C02C8D"/>
    <w:rsid w:val="00C040AE"/>
    <w:rsid w:val="00C045C8"/>
    <w:rsid w:val="00C05C64"/>
    <w:rsid w:val="00C05F20"/>
    <w:rsid w:val="00C0622E"/>
    <w:rsid w:val="00C070E0"/>
    <w:rsid w:val="00C107E6"/>
    <w:rsid w:val="00C111EA"/>
    <w:rsid w:val="00C11664"/>
    <w:rsid w:val="00C1247C"/>
    <w:rsid w:val="00C130DC"/>
    <w:rsid w:val="00C134B3"/>
    <w:rsid w:val="00C14256"/>
    <w:rsid w:val="00C142BD"/>
    <w:rsid w:val="00C14BA7"/>
    <w:rsid w:val="00C15BAC"/>
    <w:rsid w:val="00C17608"/>
    <w:rsid w:val="00C177E6"/>
    <w:rsid w:val="00C17D5F"/>
    <w:rsid w:val="00C20876"/>
    <w:rsid w:val="00C20C21"/>
    <w:rsid w:val="00C2104C"/>
    <w:rsid w:val="00C21453"/>
    <w:rsid w:val="00C21829"/>
    <w:rsid w:val="00C2187B"/>
    <w:rsid w:val="00C235C8"/>
    <w:rsid w:val="00C237F2"/>
    <w:rsid w:val="00C248A5"/>
    <w:rsid w:val="00C24E36"/>
    <w:rsid w:val="00C25082"/>
    <w:rsid w:val="00C253B3"/>
    <w:rsid w:val="00C259BD"/>
    <w:rsid w:val="00C25FF2"/>
    <w:rsid w:val="00C25FFF"/>
    <w:rsid w:val="00C262D5"/>
    <w:rsid w:val="00C269BD"/>
    <w:rsid w:val="00C308CD"/>
    <w:rsid w:val="00C30CD9"/>
    <w:rsid w:val="00C30E89"/>
    <w:rsid w:val="00C30EAC"/>
    <w:rsid w:val="00C31C17"/>
    <w:rsid w:val="00C32843"/>
    <w:rsid w:val="00C3449A"/>
    <w:rsid w:val="00C348FE"/>
    <w:rsid w:val="00C35562"/>
    <w:rsid w:val="00C361E1"/>
    <w:rsid w:val="00C369EA"/>
    <w:rsid w:val="00C36EF7"/>
    <w:rsid w:val="00C401A7"/>
    <w:rsid w:val="00C4059A"/>
    <w:rsid w:val="00C41835"/>
    <w:rsid w:val="00C418CB"/>
    <w:rsid w:val="00C41A8B"/>
    <w:rsid w:val="00C41CAB"/>
    <w:rsid w:val="00C42638"/>
    <w:rsid w:val="00C4293F"/>
    <w:rsid w:val="00C42C76"/>
    <w:rsid w:val="00C4308E"/>
    <w:rsid w:val="00C43B5C"/>
    <w:rsid w:val="00C44026"/>
    <w:rsid w:val="00C44C7A"/>
    <w:rsid w:val="00C44D5C"/>
    <w:rsid w:val="00C44D8F"/>
    <w:rsid w:val="00C44EC4"/>
    <w:rsid w:val="00C4532D"/>
    <w:rsid w:val="00C456C5"/>
    <w:rsid w:val="00C456E3"/>
    <w:rsid w:val="00C45D2A"/>
    <w:rsid w:val="00C467A2"/>
    <w:rsid w:val="00C46B97"/>
    <w:rsid w:val="00C4753C"/>
    <w:rsid w:val="00C47A42"/>
    <w:rsid w:val="00C505AA"/>
    <w:rsid w:val="00C50A9E"/>
    <w:rsid w:val="00C51838"/>
    <w:rsid w:val="00C52422"/>
    <w:rsid w:val="00C52425"/>
    <w:rsid w:val="00C52844"/>
    <w:rsid w:val="00C534E3"/>
    <w:rsid w:val="00C54E54"/>
    <w:rsid w:val="00C55101"/>
    <w:rsid w:val="00C55892"/>
    <w:rsid w:val="00C5613F"/>
    <w:rsid w:val="00C56A32"/>
    <w:rsid w:val="00C57135"/>
    <w:rsid w:val="00C57725"/>
    <w:rsid w:val="00C61AEA"/>
    <w:rsid w:val="00C63ED5"/>
    <w:rsid w:val="00C64689"/>
    <w:rsid w:val="00C64AB9"/>
    <w:rsid w:val="00C64B20"/>
    <w:rsid w:val="00C654F3"/>
    <w:rsid w:val="00C65DE0"/>
    <w:rsid w:val="00C66888"/>
    <w:rsid w:val="00C669C1"/>
    <w:rsid w:val="00C66AB3"/>
    <w:rsid w:val="00C67518"/>
    <w:rsid w:val="00C67639"/>
    <w:rsid w:val="00C701BE"/>
    <w:rsid w:val="00C7037F"/>
    <w:rsid w:val="00C71975"/>
    <w:rsid w:val="00C71B95"/>
    <w:rsid w:val="00C71CE5"/>
    <w:rsid w:val="00C7268B"/>
    <w:rsid w:val="00C72DBB"/>
    <w:rsid w:val="00C733D6"/>
    <w:rsid w:val="00C74170"/>
    <w:rsid w:val="00C74582"/>
    <w:rsid w:val="00C74F30"/>
    <w:rsid w:val="00C75FE8"/>
    <w:rsid w:val="00C76010"/>
    <w:rsid w:val="00C775CF"/>
    <w:rsid w:val="00C8048F"/>
    <w:rsid w:val="00C81248"/>
    <w:rsid w:val="00C815C6"/>
    <w:rsid w:val="00C8195F"/>
    <w:rsid w:val="00C81D0C"/>
    <w:rsid w:val="00C8282D"/>
    <w:rsid w:val="00C83854"/>
    <w:rsid w:val="00C84E4C"/>
    <w:rsid w:val="00C85C6A"/>
    <w:rsid w:val="00C86C33"/>
    <w:rsid w:val="00C90446"/>
    <w:rsid w:val="00C90D12"/>
    <w:rsid w:val="00C9119A"/>
    <w:rsid w:val="00C91424"/>
    <w:rsid w:val="00C92C87"/>
    <w:rsid w:val="00C92DA8"/>
    <w:rsid w:val="00C932AB"/>
    <w:rsid w:val="00C932C1"/>
    <w:rsid w:val="00C936E8"/>
    <w:rsid w:val="00C93DB0"/>
    <w:rsid w:val="00C94270"/>
    <w:rsid w:val="00C94658"/>
    <w:rsid w:val="00C94B12"/>
    <w:rsid w:val="00C96D90"/>
    <w:rsid w:val="00CA081C"/>
    <w:rsid w:val="00CA2F96"/>
    <w:rsid w:val="00CA52D0"/>
    <w:rsid w:val="00CA5AA3"/>
    <w:rsid w:val="00CA5D1B"/>
    <w:rsid w:val="00CA604E"/>
    <w:rsid w:val="00CA6095"/>
    <w:rsid w:val="00CA6348"/>
    <w:rsid w:val="00CA64E0"/>
    <w:rsid w:val="00CA6B6A"/>
    <w:rsid w:val="00CB0157"/>
    <w:rsid w:val="00CB0BB4"/>
    <w:rsid w:val="00CB1414"/>
    <w:rsid w:val="00CB143D"/>
    <w:rsid w:val="00CB1D5D"/>
    <w:rsid w:val="00CB29BD"/>
    <w:rsid w:val="00CB4101"/>
    <w:rsid w:val="00CB43AE"/>
    <w:rsid w:val="00CB44FD"/>
    <w:rsid w:val="00CB4EBA"/>
    <w:rsid w:val="00CB5944"/>
    <w:rsid w:val="00CB6423"/>
    <w:rsid w:val="00CB64EE"/>
    <w:rsid w:val="00CB6DE2"/>
    <w:rsid w:val="00CB7115"/>
    <w:rsid w:val="00CB7A99"/>
    <w:rsid w:val="00CB7E82"/>
    <w:rsid w:val="00CC0E45"/>
    <w:rsid w:val="00CC1073"/>
    <w:rsid w:val="00CC12CD"/>
    <w:rsid w:val="00CC23AF"/>
    <w:rsid w:val="00CC4E76"/>
    <w:rsid w:val="00CC5FEA"/>
    <w:rsid w:val="00CC64A9"/>
    <w:rsid w:val="00CC7377"/>
    <w:rsid w:val="00CC7553"/>
    <w:rsid w:val="00CC7CF6"/>
    <w:rsid w:val="00CD0835"/>
    <w:rsid w:val="00CD1F95"/>
    <w:rsid w:val="00CD2362"/>
    <w:rsid w:val="00CD2DA5"/>
    <w:rsid w:val="00CD2F72"/>
    <w:rsid w:val="00CD34B5"/>
    <w:rsid w:val="00CD4994"/>
    <w:rsid w:val="00CD4BEE"/>
    <w:rsid w:val="00CD5D97"/>
    <w:rsid w:val="00CD64C2"/>
    <w:rsid w:val="00CD666B"/>
    <w:rsid w:val="00CD6AC9"/>
    <w:rsid w:val="00CD6BAF"/>
    <w:rsid w:val="00CD78A7"/>
    <w:rsid w:val="00CE05C8"/>
    <w:rsid w:val="00CE1455"/>
    <w:rsid w:val="00CE2235"/>
    <w:rsid w:val="00CE25CD"/>
    <w:rsid w:val="00CE3D9A"/>
    <w:rsid w:val="00CE43C3"/>
    <w:rsid w:val="00CE5311"/>
    <w:rsid w:val="00CE5577"/>
    <w:rsid w:val="00CE5AAD"/>
    <w:rsid w:val="00CE6ECC"/>
    <w:rsid w:val="00CE6F89"/>
    <w:rsid w:val="00CE7184"/>
    <w:rsid w:val="00CE73A5"/>
    <w:rsid w:val="00CE7C0C"/>
    <w:rsid w:val="00CF1954"/>
    <w:rsid w:val="00CF1B8C"/>
    <w:rsid w:val="00CF350E"/>
    <w:rsid w:val="00CF41EB"/>
    <w:rsid w:val="00CF4321"/>
    <w:rsid w:val="00CF470E"/>
    <w:rsid w:val="00CF5302"/>
    <w:rsid w:val="00CF567A"/>
    <w:rsid w:val="00CF57F5"/>
    <w:rsid w:val="00CF58C8"/>
    <w:rsid w:val="00CF58D9"/>
    <w:rsid w:val="00CF67E2"/>
    <w:rsid w:val="00CF6BEA"/>
    <w:rsid w:val="00CF75A1"/>
    <w:rsid w:val="00CF784A"/>
    <w:rsid w:val="00CF7CE9"/>
    <w:rsid w:val="00D0039C"/>
    <w:rsid w:val="00D00400"/>
    <w:rsid w:val="00D00A1D"/>
    <w:rsid w:val="00D01866"/>
    <w:rsid w:val="00D01ADB"/>
    <w:rsid w:val="00D01DA4"/>
    <w:rsid w:val="00D01E70"/>
    <w:rsid w:val="00D0241E"/>
    <w:rsid w:val="00D0244D"/>
    <w:rsid w:val="00D03769"/>
    <w:rsid w:val="00D03F7B"/>
    <w:rsid w:val="00D048F3"/>
    <w:rsid w:val="00D052B3"/>
    <w:rsid w:val="00D05DB4"/>
    <w:rsid w:val="00D07C6E"/>
    <w:rsid w:val="00D106F2"/>
    <w:rsid w:val="00D11376"/>
    <w:rsid w:val="00D11451"/>
    <w:rsid w:val="00D11453"/>
    <w:rsid w:val="00D12228"/>
    <w:rsid w:val="00D1223B"/>
    <w:rsid w:val="00D13062"/>
    <w:rsid w:val="00D13D20"/>
    <w:rsid w:val="00D14515"/>
    <w:rsid w:val="00D1481A"/>
    <w:rsid w:val="00D14CD0"/>
    <w:rsid w:val="00D16254"/>
    <w:rsid w:val="00D16F82"/>
    <w:rsid w:val="00D201A6"/>
    <w:rsid w:val="00D20590"/>
    <w:rsid w:val="00D20A61"/>
    <w:rsid w:val="00D20B97"/>
    <w:rsid w:val="00D20DB0"/>
    <w:rsid w:val="00D220E5"/>
    <w:rsid w:val="00D24CEE"/>
    <w:rsid w:val="00D24D2F"/>
    <w:rsid w:val="00D250BA"/>
    <w:rsid w:val="00D25F67"/>
    <w:rsid w:val="00D26073"/>
    <w:rsid w:val="00D2621B"/>
    <w:rsid w:val="00D26A03"/>
    <w:rsid w:val="00D270DB"/>
    <w:rsid w:val="00D27EB2"/>
    <w:rsid w:val="00D30F53"/>
    <w:rsid w:val="00D31198"/>
    <w:rsid w:val="00D318FB"/>
    <w:rsid w:val="00D32709"/>
    <w:rsid w:val="00D33D76"/>
    <w:rsid w:val="00D341FB"/>
    <w:rsid w:val="00D344F3"/>
    <w:rsid w:val="00D35329"/>
    <w:rsid w:val="00D357AC"/>
    <w:rsid w:val="00D35CBF"/>
    <w:rsid w:val="00D3611A"/>
    <w:rsid w:val="00D36350"/>
    <w:rsid w:val="00D37427"/>
    <w:rsid w:val="00D40E11"/>
    <w:rsid w:val="00D427D0"/>
    <w:rsid w:val="00D43090"/>
    <w:rsid w:val="00D44AB2"/>
    <w:rsid w:val="00D45B1A"/>
    <w:rsid w:val="00D45B47"/>
    <w:rsid w:val="00D46CA6"/>
    <w:rsid w:val="00D47B22"/>
    <w:rsid w:val="00D5132A"/>
    <w:rsid w:val="00D5255B"/>
    <w:rsid w:val="00D52998"/>
    <w:rsid w:val="00D53370"/>
    <w:rsid w:val="00D534CE"/>
    <w:rsid w:val="00D54042"/>
    <w:rsid w:val="00D54210"/>
    <w:rsid w:val="00D5438B"/>
    <w:rsid w:val="00D547C9"/>
    <w:rsid w:val="00D55C91"/>
    <w:rsid w:val="00D5649A"/>
    <w:rsid w:val="00D56DD2"/>
    <w:rsid w:val="00D57951"/>
    <w:rsid w:val="00D6022C"/>
    <w:rsid w:val="00D613A5"/>
    <w:rsid w:val="00D6175F"/>
    <w:rsid w:val="00D6227A"/>
    <w:rsid w:val="00D63ED2"/>
    <w:rsid w:val="00D64B1C"/>
    <w:rsid w:val="00D65761"/>
    <w:rsid w:val="00D658B7"/>
    <w:rsid w:val="00D66038"/>
    <w:rsid w:val="00D66682"/>
    <w:rsid w:val="00D66A28"/>
    <w:rsid w:val="00D66E3F"/>
    <w:rsid w:val="00D66F07"/>
    <w:rsid w:val="00D67340"/>
    <w:rsid w:val="00D676A4"/>
    <w:rsid w:val="00D679DC"/>
    <w:rsid w:val="00D67A4F"/>
    <w:rsid w:val="00D711EB"/>
    <w:rsid w:val="00D714EB"/>
    <w:rsid w:val="00D71BF0"/>
    <w:rsid w:val="00D71EA0"/>
    <w:rsid w:val="00D72D23"/>
    <w:rsid w:val="00D72E41"/>
    <w:rsid w:val="00D72E63"/>
    <w:rsid w:val="00D7391F"/>
    <w:rsid w:val="00D74752"/>
    <w:rsid w:val="00D75405"/>
    <w:rsid w:val="00D75457"/>
    <w:rsid w:val="00D76C20"/>
    <w:rsid w:val="00D7730B"/>
    <w:rsid w:val="00D77715"/>
    <w:rsid w:val="00D77824"/>
    <w:rsid w:val="00D7790B"/>
    <w:rsid w:val="00D810D6"/>
    <w:rsid w:val="00D81DEC"/>
    <w:rsid w:val="00D825EC"/>
    <w:rsid w:val="00D82F7C"/>
    <w:rsid w:val="00D8406D"/>
    <w:rsid w:val="00D85243"/>
    <w:rsid w:val="00D85407"/>
    <w:rsid w:val="00D8756A"/>
    <w:rsid w:val="00D918F0"/>
    <w:rsid w:val="00D91BE8"/>
    <w:rsid w:val="00D931C8"/>
    <w:rsid w:val="00D937E4"/>
    <w:rsid w:val="00D93C2A"/>
    <w:rsid w:val="00D95686"/>
    <w:rsid w:val="00D96697"/>
    <w:rsid w:val="00D972F5"/>
    <w:rsid w:val="00D97728"/>
    <w:rsid w:val="00DA14F6"/>
    <w:rsid w:val="00DA297A"/>
    <w:rsid w:val="00DA3B4A"/>
    <w:rsid w:val="00DA3BF5"/>
    <w:rsid w:val="00DA5370"/>
    <w:rsid w:val="00DA6C3F"/>
    <w:rsid w:val="00DA6FB0"/>
    <w:rsid w:val="00DA7958"/>
    <w:rsid w:val="00DB014B"/>
    <w:rsid w:val="00DB0F66"/>
    <w:rsid w:val="00DB21AF"/>
    <w:rsid w:val="00DB2FF4"/>
    <w:rsid w:val="00DB3892"/>
    <w:rsid w:val="00DB39F1"/>
    <w:rsid w:val="00DB43C6"/>
    <w:rsid w:val="00DB45BB"/>
    <w:rsid w:val="00DB5131"/>
    <w:rsid w:val="00DB5791"/>
    <w:rsid w:val="00DB5C57"/>
    <w:rsid w:val="00DB600E"/>
    <w:rsid w:val="00DB6401"/>
    <w:rsid w:val="00DC2381"/>
    <w:rsid w:val="00DC2C63"/>
    <w:rsid w:val="00DC37C0"/>
    <w:rsid w:val="00DC4B50"/>
    <w:rsid w:val="00DC4B80"/>
    <w:rsid w:val="00DC4B88"/>
    <w:rsid w:val="00DC5B6E"/>
    <w:rsid w:val="00DC66D4"/>
    <w:rsid w:val="00DC6E6A"/>
    <w:rsid w:val="00DC74C0"/>
    <w:rsid w:val="00DD00DC"/>
    <w:rsid w:val="00DD230A"/>
    <w:rsid w:val="00DD2F8A"/>
    <w:rsid w:val="00DD30A9"/>
    <w:rsid w:val="00DD57A8"/>
    <w:rsid w:val="00DD599F"/>
    <w:rsid w:val="00DD69C5"/>
    <w:rsid w:val="00DD74EB"/>
    <w:rsid w:val="00DD7AE7"/>
    <w:rsid w:val="00DE0245"/>
    <w:rsid w:val="00DE0F72"/>
    <w:rsid w:val="00DE0F81"/>
    <w:rsid w:val="00DE229F"/>
    <w:rsid w:val="00DE2E90"/>
    <w:rsid w:val="00DE3661"/>
    <w:rsid w:val="00DE37B6"/>
    <w:rsid w:val="00DE451B"/>
    <w:rsid w:val="00DE48A0"/>
    <w:rsid w:val="00DE4F3B"/>
    <w:rsid w:val="00DE58DA"/>
    <w:rsid w:val="00DE6953"/>
    <w:rsid w:val="00DE6C66"/>
    <w:rsid w:val="00DE72E5"/>
    <w:rsid w:val="00DF027A"/>
    <w:rsid w:val="00DF02DB"/>
    <w:rsid w:val="00DF0AD2"/>
    <w:rsid w:val="00DF12BA"/>
    <w:rsid w:val="00DF1BC4"/>
    <w:rsid w:val="00DF28E3"/>
    <w:rsid w:val="00DF2D02"/>
    <w:rsid w:val="00E00056"/>
    <w:rsid w:val="00E001AD"/>
    <w:rsid w:val="00E00751"/>
    <w:rsid w:val="00E00F03"/>
    <w:rsid w:val="00E01715"/>
    <w:rsid w:val="00E02039"/>
    <w:rsid w:val="00E041BA"/>
    <w:rsid w:val="00E04619"/>
    <w:rsid w:val="00E0480A"/>
    <w:rsid w:val="00E05298"/>
    <w:rsid w:val="00E05FDD"/>
    <w:rsid w:val="00E0635F"/>
    <w:rsid w:val="00E06EED"/>
    <w:rsid w:val="00E10AE5"/>
    <w:rsid w:val="00E10B92"/>
    <w:rsid w:val="00E1129F"/>
    <w:rsid w:val="00E118F0"/>
    <w:rsid w:val="00E125EF"/>
    <w:rsid w:val="00E1313A"/>
    <w:rsid w:val="00E13785"/>
    <w:rsid w:val="00E13BED"/>
    <w:rsid w:val="00E14D01"/>
    <w:rsid w:val="00E15081"/>
    <w:rsid w:val="00E15A3E"/>
    <w:rsid w:val="00E162C4"/>
    <w:rsid w:val="00E16A85"/>
    <w:rsid w:val="00E16AFA"/>
    <w:rsid w:val="00E16CF4"/>
    <w:rsid w:val="00E16F29"/>
    <w:rsid w:val="00E20070"/>
    <w:rsid w:val="00E20593"/>
    <w:rsid w:val="00E21919"/>
    <w:rsid w:val="00E21EA6"/>
    <w:rsid w:val="00E228DA"/>
    <w:rsid w:val="00E23A77"/>
    <w:rsid w:val="00E24D06"/>
    <w:rsid w:val="00E2568F"/>
    <w:rsid w:val="00E2655F"/>
    <w:rsid w:val="00E26E7A"/>
    <w:rsid w:val="00E275F9"/>
    <w:rsid w:val="00E27776"/>
    <w:rsid w:val="00E3035C"/>
    <w:rsid w:val="00E3048F"/>
    <w:rsid w:val="00E3080E"/>
    <w:rsid w:val="00E31806"/>
    <w:rsid w:val="00E31B39"/>
    <w:rsid w:val="00E31E35"/>
    <w:rsid w:val="00E321ED"/>
    <w:rsid w:val="00E33222"/>
    <w:rsid w:val="00E33F25"/>
    <w:rsid w:val="00E35083"/>
    <w:rsid w:val="00E3533C"/>
    <w:rsid w:val="00E35D2D"/>
    <w:rsid w:val="00E3630D"/>
    <w:rsid w:val="00E379D4"/>
    <w:rsid w:val="00E4015A"/>
    <w:rsid w:val="00E409DD"/>
    <w:rsid w:val="00E427AE"/>
    <w:rsid w:val="00E42E02"/>
    <w:rsid w:val="00E4439F"/>
    <w:rsid w:val="00E44E86"/>
    <w:rsid w:val="00E4515A"/>
    <w:rsid w:val="00E45172"/>
    <w:rsid w:val="00E45E4B"/>
    <w:rsid w:val="00E4642B"/>
    <w:rsid w:val="00E47190"/>
    <w:rsid w:val="00E519C2"/>
    <w:rsid w:val="00E52DA2"/>
    <w:rsid w:val="00E53365"/>
    <w:rsid w:val="00E537B2"/>
    <w:rsid w:val="00E53DE0"/>
    <w:rsid w:val="00E53DF4"/>
    <w:rsid w:val="00E54B85"/>
    <w:rsid w:val="00E560A2"/>
    <w:rsid w:val="00E60C9A"/>
    <w:rsid w:val="00E61A50"/>
    <w:rsid w:val="00E623FF"/>
    <w:rsid w:val="00E62A96"/>
    <w:rsid w:val="00E634B4"/>
    <w:rsid w:val="00E64253"/>
    <w:rsid w:val="00E6463D"/>
    <w:rsid w:val="00E65252"/>
    <w:rsid w:val="00E65BBC"/>
    <w:rsid w:val="00E65CF1"/>
    <w:rsid w:val="00E664E8"/>
    <w:rsid w:val="00E668F9"/>
    <w:rsid w:val="00E67702"/>
    <w:rsid w:val="00E711CA"/>
    <w:rsid w:val="00E717AE"/>
    <w:rsid w:val="00E72BE4"/>
    <w:rsid w:val="00E738ED"/>
    <w:rsid w:val="00E73EE7"/>
    <w:rsid w:val="00E74929"/>
    <w:rsid w:val="00E74A28"/>
    <w:rsid w:val="00E74A4B"/>
    <w:rsid w:val="00E75189"/>
    <w:rsid w:val="00E76535"/>
    <w:rsid w:val="00E7664A"/>
    <w:rsid w:val="00E76713"/>
    <w:rsid w:val="00E76A21"/>
    <w:rsid w:val="00E77183"/>
    <w:rsid w:val="00E7789B"/>
    <w:rsid w:val="00E7789E"/>
    <w:rsid w:val="00E80A35"/>
    <w:rsid w:val="00E80A71"/>
    <w:rsid w:val="00E80EE1"/>
    <w:rsid w:val="00E85344"/>
    <w:rsid w:val="00E85582"/>
    <w:rsid w:val="00E85FB0"/>
    <w:rsid w:val="00E86823"/>
    <w:rsid w:val="00E875F1"/>
    <w:rsid w:val="00E91737"/>
    <w:rsid w:val="00E93081"/>
    <w:rsid w:val="00E94573"/>
    <w:rsid w:val="00E94DCF"/>
    <w:rsid w:val="00E95AAE"/>
    <w:rsid w:val="00E95B93"/>
    <w:rsid w:val="00E9613B"/>
    <w:rsid w:val="00E9631A"/>
    <w:rsid w:val="00E96D27"/>
    <w:rsid w:val="00E97817"/>
    <w:rsid w:val="00EA03FD"/>
    <w:rsid w:val="00EA04D7"/>
    <w:rsid w:val="00EA2CC1"/>
    <w:rsid w:val="00EA3121"/>
    <w:rsid w:val="00EA5017"/>
    <w:rsid w:val="00EA551A"/>
    <w:rsid w:val="00EA6307"/>
    <w:rsid w:val="00EA64D4"/>
    <w:rsid w:val="00EA7C6C"/>
    <w:rsid w:val="00EA7F30"/>
    <w:rsid w:val="00EB0529"/>
    <w:rsid w:val="00EB06D3"/>
    <w:rsid w:val="00EB0737"/>
    <w:rsid w:val="00EB097D"/>
    <w:rsid w:val="00EB0AE2"/>
    <w:rsid w:val="00EB0D15"/>
    <w:rsid w:val="00EB120C"/>
    <w:rsid w:val="00EB2057"/>
    <w:rsid w:val="00EB2D00"/>
    <w:rsid w:val="00EB4006"/>
    <w:rsid w:val="00EB48BB"/>
    <w:rsid w:val="00EB5590"/>
    <w:rsid w:val="00EB56ED"/>
    <w:rsid w:val="00EB6F85"/>
    <w:rsid w:val="00EB7320"/>
    <w:rsid w:val="00EC0020"/>
    <w:rsid w:val="00EC1126"/>
    <w:rsid w:val="00EC13DD"/>
    <w:rsid w:val="00EC2726"/>
    <w:rsid w:val="00EC2DBC"/>
    <w:rsid w:val="00EC2EEB"/>
    <w:rsid w:val="00EC3583"/>
    <w:rsid w:val="00EC4629"/>
    <w:rsid w:val="00EC58AA"/>
    <w:rsid w:val="00EC58C5"/>
    <w:rsid w:val="00EC5937"/>
    <w:rsid w:val="00EC5AC4"/>
    <w:rsid w:val="00EC5B16"/>
    <w:rsid w:val="00EC5B52"/>
    <w:rsid w:val="00EC5F2A"/>
    <w:rsid w:val="00EC6106"/>
    <w:rsid w:val="00EC6BFE"/>
    <w:rsid w:val="00EC7618"/>
    <w:rsid w:val="00ED0753"/>
    <w:rsid w:val="00ED0854"/>
    <w:rsid w:val="00ED4471"/>
    <w:rsid w:val="00ED5D55"/>
    <w:rsid w:val="00ED62E8"/>
    <w:rsid w:val="00ED6642"/>
    <w:rsid w:val="00ED7352"/>
    <w:rsid w:val="00ED74EC"/>
    <w:rsid w:val="00EE0067"/>
    <w:rsid w:val="00EE1298"/>
    <w:rsid w:val="00EE1D70"/>
    <w:rsid w:val="00EE300A"/>
    <w:rsid w:val="00EE32B6"/>
    <w:rsid w:val="00EE3768"/>
    <w:rsid w:val="00EE3B5A"/>
    <w:rsid w:val="00EE41F3"/>
    <w:rsid w:val="00EE4B1E"/>
    <w:rsid w:val="00EE529A"/>
    <w:rsid w:val="00EE540B"/>
    <w:rsid w:val="00EE549D"/>
    <w:rsid w:val="00EE57AC"/>
    <w:rsid w:val="00EE5948"/>
    <w:rsid w:val="00EE60F2"/>
    <w:rsid w:val="00EF086F"/>
    <w:rsid w:val="00EF0907"/>
    <w:rsid w:val="00EF0E36"/>
    <w:rsid w:val="00EF15C0"/>
    <w:rsid w:val="00EF243C"/>
    <w:rsid w:val="00EF2930"/>
    <w:rsid w:val="00EF337E"/>
    <w:rsid w:val="00EF4857"/>
    <w:rsid w:val="00EF5028"/>
    <w:rsid w:val="00EF54E1"/>
    <w:rsid w:val="00EF58FD"/>
    <w:rsid w:val="00EF5D3B"/>
    <w:rsid w:val="00EF5FB2"/>
    <w:rsid w:val="00EF65B9"/>
    <w:rsid w:val="00EF729E"/>
    <w:rsid w:val="00EF78A2"/>
    <w:rsid w:val="00F00097"/>
    <w:rsid w:val="00F003F1"/>
    <w:rsid w:val="00F00467"/>
    <w:rsid w:val="00F00667"/>
    <w:rsid w:val="00F00670"/>
    <w:rsid w:val="00F007B2"/>
    <w:rsid w:val="00F007D2"/>
    <w:rsid w:val="00F01607"/>
    <w:rsid w:val="00F01613"/>
    <w:rsid w:val="00F01656"/>
    <w:rsid w:val="00F01A55"/>
    <w:rsid w:val="00F02146"/>
    <w:rsid w:val="00F032A9"/>
    <w:rsid w:val="00F03D6F"/>
    <w:rsid w:val="00F04915"/>
    <w:rsid w:val="00F05848"/>
    <w:rsid w:val="00F063AF"/>
    <w:rsid w:val="00F06885"/>
    <w:rsid w:val="00F06CDB"/>
    <w:rsid w:val="00F06D16"/>
    <w:rsid w:val="00F072EF"/>
    <w:rsid w:val="00F07CE1"/>
    <w:rsid w:val="00F07E7E"/>
    <w:rsid w:val="00F10C87"/>
    <w:rsid w:val="00F11206"/>
    <w:rsid w:val="00F12E73"/>
    <w:rsid w:val="00F130CC"/>
    <w:rsid w:val="00F13294"/>
    <w:rsid w:val="00F137BF"/>
    <w:rsid w:val="00F14666"/>
    <w:rsid w:val="00F146AD"/>
    <w:rsid w:val="00F14A14"/>
    <w:rsid w:val="00F15ECD"/>
    <w:rsid w:val="00F161D7"/>
    <w:rsid w:val="00F173EB"/>
    <w:rsid w:val="00F175D4"/>
    <w:rsid w:val="00F178BB"/>
    <w:rsid w:val="00F17978"/>
    <w:rsid w:val="00F207D7"/>
    <w:rsid w:val="00F20A4F"/>
    <w:rsid w:val="00F211F4"/>
    <w:rsid w:val="00F21487"/>
    <w:rsid w:val="00F2152E"/>
    <w:rsid w:val="00F21C47"/>
    <w:rsid w:val="00F21D7C"/>
    <w:rsid w:val="00F21DC1"/>
    <w:rsid w:val="00F22000"/>
    <w:rsid w:val="00F22487"/>
    <w:rsid w:val="00F237FB"/>
    <w:rsid w:val="00F24D92"/>
    <w:rsid w:val="00F2574D"/>
    <w:rsid w:val="00F26E23"/>
    <w:rsid w:val="00F27345"/>
    <w:rsid w:val="00F27ADA"/>
    <w:rsid w:val="00F30114"/>
    <w:rsid w:val="00F303F5"/>
    <w:rsid w:val="00F309B1"/>
    <w:rsid w:val="00F30AC2"/>
    <w:rsid w:val="00F313AE"/>
    <w:rsid w:val="00F31B08"/>
    <w:rsid w:val="00F3252B"/>
    <w:rsid w:val="00F33519"/>
    <w:rsid w:val="00F3364E"/>
    <w:rsid w:val="00F34639"/>
    <w:rsid w:val="00F34875"/>
    <w:rsid w:val="00F348B7"/>
    <w:rsid w:val="00F35157"/>
    <w:rsid w:val="00F35872"/>
    <w:rsid w:val="00F3638D"/>
    <w:rsid w:val="00F365B9"/>
    <w:rsid w:val="00F366A3"/>
    <w:rsid w:val="00F3700F"/>
    <w:rsid w:val="00F37857"/>
    <w:rsid w:val="00F401A1"/>
    <w:rsid w:val="00F40A5A"/>
    <w:rsid w:val="00F40A88"/>
    <w:rsid w:val="00F40E59"/>
    <w:rsid w:val="00F41C6F"/>
    <w:rsid w:val="00F42263"/>
    <w:rsid w:val="00F423A0"/>
    <w:rsid w:val="00F424F7"/>
    <w:rsid w:val="00F43CBB"/>
    <w:rsid w:val="00F4419C"/>
    <w:rsid w:val="00F44D42"/>
    <w:rsid w:val="00F458C8"/>
    <w:rsid w:val="00F476B5"/>
    <w:rsid w:val="00F508AA"/>
    <w:rsid w:val="00F50963"/>
    <w:rsid w:val="00F50FF4"/>
    <w:rsid w:val="00F510C9"/>
    <w:rsid w:val="00F5181C"/>
    <w:rsid w:val="00F52181"/>
    <w:rsid w:val="00F5325B"/>
    <w:rsid w:val="00F535F4"/>
    <w:rsid w:val="00F548DD"/>
    <w:rsid w:val="00F54EB5"/>
    <w:rsid w:val="00F556E4"/>
    <w:rsid w:val="00F559A2"/>
    <w:rsid w:val="00F56CF2"/>
    <w:rsid w:val="00F57C3D"/>
    <w:rsid w:val="00F60232"/>
    <w:rsid w:val="00F6047C"/>
    <w:rsid w:val="00F60A3C"/>
    <w:rsid w:val="00F61B2B"/>
    <w:rsid w:val="00F61C81"/>
    <w:rsid w:val="00F62492"/>
    <w:rsid w:val="00F62644"/>
    <w:rsid w:val="00F62AE4"/>
    <w:rsid w:val="00F63230"/>
    <w:rsid w:val="00F63600"/>
    <w:rsid w:val="00F637F2"/>
    <w:rsid w:val="00F65AD4"/>
    <w:rsid w:val="00F65F11"/>
    <w:rsid w:val="00F66651"/>
    <w:rsid w:val="00F66985"/>
    <w:rsid w:val="00F712C5"/>
    <w:rsid w:val="00F71B12"/>
    <w:rsid w:val="00F71B6B"/>
    <w:rsid w:val="00F7299B"/>
    <w:rsid w:val="00F72C41"/>
    <w:rsid w:val="00F73400"/>
    <w:rsid w:val="00F73C6E"/>
    <w:rsid w:val="00F73CCE"/>
    <w:rsid w:val="00F742A0"/>
    <w:rsid w:val="00F765FE"/>
    <w:rsid w:val="00F76DF1"/>
    <w:rsid w:val="00F771D0"/>
    <w:rsid w:val="00F77943"/>
    <w:rsid w:val="00F80FEB"/>
    <w:rsid w:val="00F81546"/>
    <w:rsid w:val="00F81AF0"/>
    <w:rsid w:val="00F82704"/>
    <w:rsid w:val="00F840FD"/>
    <w:rsid w:val="00F846C9"/>
    <w:rsid w:val="00F848EB"/>
    <w:rsid w:val="00F84D18"/>
    <w:rsid w:val="00F879D3"/>
    <w:rsid w:val="00F90B42"/>
    <w:rsid w:val="00F9115B"/>
    <w:rsid w:val="00F91869"/>
    <w:rsid w:val="00F923D6"/>
    <w:rsid w:val="00F925E5"/>
    <w:rsid w:val="00F927C2"/>
    <w:rsid w:val="00F92D0A"/>
    <w:rsid w:val="00F93DCA"/>
    <w:rsid w:val="00F93E90"/>
    <w:rsid w:val="00F94D05"/>
    <w:rsid w:val="00F97B1A"/>
    <w:rsid w:val="00F97FFC"/>
    <w:rsid w:val="00FA0F1C"/>
    <w:rsid w:val="00FA2AB2"/>
    <w:rsid w:val="00FA3738"/>
    <w:rsid w:val="00FA4885"/>
    <w:rsid w:val="00FA4DB4"/>
    <w:rsid w:val="00FA650B"/>
    <w:rsid w:val="00FB1848"/>
    <w:rsid w:val="00FB2036"/>
    <w:rsid w:val="00FB2444"/>
    <w:rsid w:val="00FB38F8"/>
    <w:rsid w:val="00FB477A"/>
    <w:rsid w:val="00FB4DC4"/>
    <w:rsid w:val="00FB4F91"/>
    <w:rsid w:val="00FB540C"/>
    <w:rsid w:val="00FB58C5"/>
    <w:rsid w:val="00FB5D6B"/>
    <w:rsid w:val="00FB6484"/>
    <w:rsid w:val="00FC0342"/>
    <w:rsid w:val="00FC03F1"/>
    <w:rsid w:val="00FC2102"/>
    <w:rsid w:val="00FC3034"/>
    <w:rsid w:val="00FC3C52"/>
    <w:rsid w:val="00FC3EA3"/>
    <w:rsid w:val="00FC5060"/>
    <w:rsid w:val="00FC5186"/>
    <w:rsid w:val="00FC68B3"/>
    <w:rsid w:val="00FC78EE"/>
    <w:rsid w:val="00FC7F00"/>
    <w:rsid w:val="00FD0B74"/>
    <w:rsid w:val="00FD0F3E"/>
    <w:rsid w:val="00FD2CDC"/>
    <w:rsid w:val="00FD2D7A"/>
    <w:rsid w:val="00FD3339"/>
    <w:rsid w:val="00FD496B"/>
    <w:rsid w:val="00FD4E68"/>
    <w:rsid w:val="00FD5CA3"/>
    <w:rsid w:val="00FD6D19"/>
    <w:rsid w:val="00FD71B3"/>
    <w:rsid w:val="00FD77CC"/>
    <w:rsid w:val="00FD7A93"/>
    <w:rsid w:val="00FE027B"/>
    <w:rsid w:val="00FE0AD1"/>
    <w:rsid w:val="00FE3257"/>
    <w:rsid w:val="00FE339A"/>
    <w:rsid w:val="00FE39A6"/>
    <w:rsid w:val="00FE3E12"/>
    <w:rsid w:val="00FE491A"/>
    <w:rsid w:val="00FE51BC"/>
    <w:rsid w:val="00FE55C7"/>
    <w:rsid w:val="00FE5BFB"/>
    <w:rsid w:val="00FE5CD1"/>
    <w:rsid w:val="00FE6967"/>
    <w:rsid w:val="00FE6D13"/>
    <w:rsid w:val="00FE78EA"/>
    <w:rsid w:val="00FF17DE"/>
    <w:rsid w:val="00FF1DD6"/>
    <w:rsid w:val="00FF1FBD"/>
    <w:rsid w:val="00FF214C"/>
    <w:rsid w:val="00FF246D"/>
    <w:rsid w:val="00FF2FFD"/>
    <w:rsid w:val="00FF3E35"/>
    <w:rsid w:val="00FF4CC6"/>
    <w:rsid w:val="00FF566F"/>
    <w:rsid w:val="00FF6493"/>
    <w:rsid w:val="00FF69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715E7"/>
  <w15:chartTrackingRefBased/>
  <w15:docId w15:val="{08464D87-F635-4D3A-81DC-5D8A1DCA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C3D"/>
  </w:style>
  <w:style w:type="paragraph" w:styleId="Overskrift1">
    <w:name w:val="heading 1"/>
    <w:basedOn w:val="Normal"/>
    <w:next w:val="Normal"/>
    <w:link w:val="Overskrift1Tegn"/>
    <w:uiPriority w:val="9"/>
    <w:qFormat/>
    <w:rsid w:val="008C2AB3"/>
    <w:pPr>
      <w:keepNext/>
      <w:keepLines/>
      <w:spacing w:before="240" w:after="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unhideWhenUsed/>
    <w:qFormat/>
    <w:rsid w:val="008C2AB3"/>
    <w:pPr>
      <w:keepNext/>
      <w:keepLines/>
      <w:spacing w:before="40" w:after="0"/>
      <w:outlineLvl w:val="1"/>
    </w:pPr>
    <w:rPr>
      <w:rFonts w:asciiTheme="majorHAnsi" w:eastAsiaTheme="majorEastAsia" w:hAnsiTheme="majorHAnsi" w:cstheme="majorBidi"/>
      <w:b/>
      <w:sz w:val="28"/>
      <w:szCs w:val="26"/>
    </w:rPr>
  </w:style>
  <w:style w:type="paragraph" w:styleId="Overskrift3">
    <w:name w:val="heading 3"/>
    <w:basedOn w:val="Normal"/>
    <w:next w:val="Normal"/>
    <w:link w:val="Overskrift3Tegn"/>
    <w:autoRedefine/>
    <w:uiPriority w:val="9"/>
    <w:unhideWhenUsed/>
    <w:qFormat/>
    <w:rsid w:val="00241913"/>
    <w:pPr>
      <w:keepNext/>
      <w:keepLines/>
      <w:numPr>
        <w:ilvl w:val="1"/>
        <w:numId w:val="6"/>
      </w:numPr>
      <w:spacing w:before="40" w:after="0"/>
      <w:outlineLvl w:val="2"/>
    </w:pPr>
    <w:rPr>
      <w:rFonts w:asciiTheme="majorHAnsi" w:eastAsiaTheme="majorEastAsia" w:hAnsiTheme="majorHAnsi" w:cstheme="majorBidi"/>
      <w:b/>
      <w:bCs/>
      <w:sz w:val="24"/>
      <w:szCs w:val="24"/>
    </w:rPr>
  </w:style>
  <w:style w:type="paragraph" w:styleId="Overskrift4">
    <w:name w:val="heading 4"/>
    <w:basedOn w:val="Normal"/>
    <w:next w:val="Normal"/>
    <w:link w:val="Overskrift4Tegn"/>
    <w:uiPriority w:val="9"/>
    <w:unhideWhenUsed/>
    <w:qFormat/>
    <w:rsid w:val="008C2AB3"/>
    <w:pPr>
      <w:keepNext/>
      <w:keepLines/>
      <w:spacing w:before="40" w:after="0"/>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unhideWhenUsed/>
    <w:qFormat/>
    <w:rsid w:val="004C03CD"/>
    <w:pPr>
      <w:keepNext/>
      <w:keepLines/>
      <w:spacing w:before="40" w:after="0"/>
      <w:outlineLvl w:val="4"/>
    </w:pPr>
    <w:rPr>
      <w:rFonts w:asciiTheme="majorHAnsi" w:eastAsiaTheme="majorEastAsia" w:hAnsiTheme="majorHAnsi" w:cstheme="majorBid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C2AB3"/>
    <w:rPr>
      <w:rFonts w:asciiTheme="majorHAnsi" w:eastAsiaTheme="majorEastAsia" w:hAnsiTheme="majorHAnsi" w:cstheme="majorBidi"/>
      <w:sz w:val="32"/>
      <w:szCs w:val="32"/>
    </w:rPr>
  </w:style>
  <w:style w:type="character" w:customStyle="1" w:styleId="Overskrift2Tegn">
    <w:name w:val="Overskrift 2 Tegn"/>
    <w:basedOn w:val="Standardskriftforavsnitt"/>
    <w:link w:val="Overskrift2"/>
    <w:uiPriority w:val="9"/>
    <w:rsid w:val="008C2AB3"/>
    <w:rPr>
      <w:rFonts w:asciiTheme="majorHAnsi" w:eastAsiaTheme="majorEastAsia" w:hAnsiTheme="majorHAnsi" w:cstheme="majorBidi"/>
      <w:b/>
      <w:sz w:val="28"/>
      <w:szCs w:val="26"/>
    </w:rPr>
  </w:style>
  <w:style w:type="character" w:customStyle="1" w:styleId="Overskrift3Tegn">
    <w:name w:val="Overskrift 3 Tegn"/>
    <w:basedOn w:val="Standardskriftforavsnitt"/>
    <w:link w:val="Overskrift3"/>
    <w:uiPriority w:val="9"/>
    <w:rsid w:val="00241913"/>
    <w:rPr>
      <w:rFonts w:asciiTheme="majorHAnsi" w:eastAsiaTheme="majorEastAsia" w:hAnsiTheme="majorHAnsi" w:cstheme="majorBidi"/>
      <w:b/>
      <w:bCs/>
      <w:sz w:val="24"/>
      <w:szCs w:val="24"/>
    </w:rPr>
  </w:style>
  <w:style w:type="character" w:customStyle="1" w:styleId="Overskrift4Tegn">
    <w:name w:val="Overskrift 4 Tegn"/>
    <w:basedOn w:val="Standardskriftforavsnitt"/>
    <w:link w:val="Overskrift4"/>
    <w:uiPriority w:val="9"/>
    <w:rsid w:val="008C2AB3"/>
    <w:rPr>
      <w:rFonts w:asciiTheme="majorHAnsi" w:eastAsiaTheme="majorEastAsia" w:hAnsiTheme="majorHAnsi" w:cstheme="majorBidi"/>
      <w:i/>
      <w:iCs/>
    </w:rPr>
  </w:style>
  <w:style w:type="character" w:customStyle="1" w:styleId="Overskrift5Tegn">
    <w:name w:val="Overskrift 5 Tegn"/>
    <w:basedOn w:val="Standardskriftforavsnitt"/>
    <w:link w:val="Overskrift5"/>
    <w:uiPriority w:val="9"/>
    <w:rsid w:val="004C03CD"/>
    <w:rPr>
      <w:rFonts w:asciiTheme="majorHAnsi" w:eastAsiaTheme="majorEastAsia" w:hAnsiTheme="majorHAnsi" w:cstheme="majorBidi"/>
    </w:rPr>
  </w:style>
  <w:style w:type="paragraph" w:styleId="Tittel">
    <w:name w:val="Title"/>
    <w:basedOn w:val="Normal"/>
    <w:next w:val="Normal"/>
    <w:link w:val="TittelTegn"/>
    <w:uiPriority w:val="10"/>
    <w:qFormat/>
    <w:rsid w:val="00F57C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57C3D"/>
    <w:rPr>
      <w:rFonts w:asciiTheme="majorHAnsi" w:eastAsiaTheme="majorEastAsia" w:hAnsiTheme="majorHAnsi" w:cstheme="majorBidi"/>
      <w:spacing w:val="-10"/>
      <w:kern w:val="28"/>
      <w:sz w:val="56"/>
      <w:szCs w:val="56"/>
    </w:rPr>
  </w:style>
  <w:style w:type="paragraph" w:styleId="Listeavsnitt">
    <w:name w:val="List Paragraph"/>
    <w:basedOn w:val="Normal"/>
    <w:uiPriority w:val="34"/>
    <w:qFormat/>
    <w:rsid w:val="00F57C3D"/>
    <w:pPr>
      <w:ind w:left="720"/>
      <w:contextualSpacing/>
    </w:pPr>
  </w:style>
  <w:style w:type="character" w:styleId="Hyperkobling">
    <w:name w:val="Hyperlink"/>
    <w:basedOn w:val="Standardskriftforavsnitt"/>
    <w:uiPriority w:val="99"/>
    <w:unhideWhenUsed/>
    <w:rsid w:val="00F57C3D"/>
    <w:rPr>
      <w:color w:val="0563C1" w:themeColor="hyperlink"/>
      <w:u w:val="single"/>
    </w:rPr>
  </w:style>
  <w:style w:type="character" w:styleId="Ulstomtale">
    <w:name w:val="Unresolved Mention"/>
    <w:basedOn w:val="Standardskriftforavsnitt"/>
    <w:uiPriority w:val="99"/>
    <w:semiHidden/>
    <w:unhideWhenUsed/>
    <w:rsid w:val="00F57C3D"/>
    <w:rPr>
      <w:color w:val="605E5C"/>
      <w:shd w:val="clear" w:color="auto" w:fill="E1DFDD"/>
    </w:rPr>
  </w:style>
  <w:style w:type="paragraph" w:styleId="Fotnotetekst">
    <w:name w:val="footnote text"/>
    <w:basedOn w:val="Normal"/>
    <w:link w:val="FotnotetekstTegn"/>
    <w:uiPriority w:val="99"/>
    <w:semiHidden/>
    <w:unhideWhenUsed/>
    <w:rsid w:val="00F57C3D"/>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F57C3D"/>
    <w:rPr>
      <w:sz w:val="20"/>
      <w:szCs w:val="20"/>
    </w:rPr>
  </w:style>
  <w:style w:type="character" w:styleId="Fotnotereferanse">
    <w:name w:val="footnote reference"/>
    <w:basedOn w:val="Standardskriftforavsnitt"/>
    <w:uiPriority w:val="99"/>
    <w:semiHidden/>
    <w:unhideWhenUsed/>
    <w:rsid w:val="00F57C3D"/>
    <w:rPr>
      <w:vertAlign w:val="superscript"/>
    </w:rPr>
  </w:style>
  <w:style w:type="paragraph" w:styleId="Overskriftforinnholdsfortegnelse">
    <w:name w:val="TOC Heading"/>
    <w:basedOn w:val="Overskrift1"/>
    <w:next w:val="Normal"/>
    <w:uiPriority w:val="39"/>
    <w:unhideWhenUsed/>
    <w:qFormat/>
    <w:rsid w:val="008C2AB3"/>
    <w:pPr>
      <w:outlineLvl w:val="9"/>
    </w:pPr>
    <w:rPr>
      <w:lang w:eastAsia="nb-NO"/>
    </w:rPr>
  </w:style>
  <w:style w:type="paragraph" w:styleId="INNH1">
    <w:name w:val="toc 1"/>
    <w:basedOn w:val="Normal"/>
    <w:next w:val="Normal"/>
    <w:autoRedefine/>
    <w:uiPriority w:val="39"/>
    <w:unhideWhenUsed/>
    <w:rsid w:val="008C2AB3"/>
    <w:pPr>
      <w:spacing w:after="100"/>
    </w:pPr>
  </w:style>
  <w:style w:type="paragraph" w:styleId="INNH2">
    <w:name w:val="toc 2"/>
    <w:basedOn w:val="Normal"/>
    <w:next w:val="Normal"/>
    <w:autoRedefine/>
    <w:uiPriority w:val="39"/>
    <w:unhideWhenUsed/>
    <w:rsid w:val="00361EF2"/>
    <w:pPr>
      <w:tabs>
        <w:tab w:val="left" w:pos="720"/>
        <w:tab w:val="right" w:leader="dot" w:pos="9062"/>
      </w:tabs>
      <w:spacing w:after="100"/>
      <w:ind w:left="220"/>
    </w:pPr>
  </w:style>
  <w:style w:type="paragraph" w:styleId="INNH3">
    <w:name w:val="toc 3"/>
    <w:basedOn w:val="Normal"/>
    <w:next w:val="Normal"/>
    <w:autoRedefine/>
    <w:uiPriority w:val="39"/>
    <w:unhideWhenUsed/>
    <w:rsid w:val="00D2621B"/>
    <w:pPr>
      <w:tabs>
        <w:tab w:val="left" w:pos="1200"/>
        <w:tab w:val="right" w:leader="dot" w:pos="9062"/>
      </w:tabs>
      <w:spacing w:after="100"/>
      <w:ind w:left="440"/>
    </w:pPr>
  </w:style>
  <w:style w:type="paragraph" w:styleId="Topptekst">
    <w:name w:val="header"/>
    <w:basedOn w:val="Normal"/>
    <w:link w:val="TopptekstTegn"/>
    <w:uiPriority w:val="99"/>
    <w:unhideWhenUsed/>
    <w:rsid w:val="004E1B7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E1B7A"/>
  </w:style>
  <w:style w:type="paragraph" w:styleId="Bunntekst">
    <w:name w:val="footer"/>
    <w:basedOn w:val="Normal"/>
    <w:link w:val="BunntekstTegn"/>
    <w:uiPriority w:val="99"/>
    <w:unhideWhenUsed/>
    <w:rsid w:val="004E1B7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E1B7A"/>
  </w:style>
  <w:style w:type="paragraph" w:styleId="Revisjon">
    <w:name w:val="Revision"/>
    <w:hidden/>
    <w:uiPriority w:val="99"/>
    <w:semiHidden/>
    <w:rsid w:val="004114A9"/>
    <w:pPr>
      <w:spacing w:after="0" w:line="240" w:lineRule="auto"/>
    </w:pPr>
  </w:style>
  <w:style w:type="character" w:styleId="Merknadsreferanse">
    <w:name w:val="annotation reference"/>
    <w:basedOn w:val="Standardskriftforavsnitt"/>
    <w:uiPriority w:val="99"/>
    <w:semiHidden/>
    <w:unhideWhenUsed/>
    <w:rsid w:val="00A61F8D"/>
    <w:rPr>
      <w:sz w:val="16"/>
      <w:szCs w:val="16"/>
    </w:rPr>
  </w:style>
  <w:style w:type="paragraph" w:styleId="Merknadstekst">
    <w:name w:val="annotation text"/>
    <w:basedOn w:val="Normal"/>
    <w:link w:val="MerknadstekstTegn"/>
    <w:uiPriority w:val="99"/>
    <w:unhideWhenUsed/>
    <w:rsid w:val="00A61F8D"/>
    <w:pPr>
      <w:spacing w:line="240" w:lineRule="auto"/>
    </w:pPr>
    <w:rPr>
      <w:sz w:val="20"/>
      <w:szCs w:val="20"/>
    </w:rPr>
  </w:style>
  <w:style w:type="character" w:customStyle="1" w:styleId="MerknadstekstTegn">
    <w:name w:val="Merknadstekst Tegn"/>
    <w:basedOn w:val="Standardskriftforavsnitt"/>
    <w:link w:val="Merknadstekst"/>
    <w:uiPriority w:val="99"/>
    <w:rsid w:val="00A61F8D"/>
    <w:rPr>
      <w:sz w:val="20"/>
      <w:szCs w:val="20"/>
    </w:rPr>
  </w:style>
  <w:style w:type="paragraph" w:styleId="Kommentaremne">
    <w:name w:val="annotation subject"/>
    <w:basedOn w:val="Merknadstekst"/>
    <w:next w:val="Merknadstekst"/>
    <w:link w:val="KommentaremneTegn"/>
    <w:uiPriority w:val="99"/>
    <w:semiHidden/>
    <w:unhideWhenUsed/>
    <w:rsid w:val="00A61F8D"/>
    <w:rPr>
      <w:b/>
      <w:bCs/>
    </w:rPr>
  </w:style>
  <w:style w:type="character" w:customStyle="1" w:styleId="KommentaremneTegn">
    <w:name w:val="Kommentaremne Tegn"/>
    <w:basedOn w:val="MerknadstekstTegn"/>
    <w:link w:val="Kommentaremne"/>
    <w:uiPriority w:val="99"/>
    <w:semiHidden/>
    <w:rsid w:val="00A61F8D"/>
    <w:rPr>
      <w:b/>
      <w:bCs/>
      <w:sz w:val="20"/>
      <w:szCs w:val="20"/>
    </w:rPr>
  </w:style>
  <w:style w:type="character" w:styleId="Fulgthyperkobling">
    <w:name w:val="FollowedHyperlink"/>
    <w:basedOn w:val="Standardskriftforavsnitt"/>
    <w:uiPriority w:val="99"/>
    <w:semiHidden/>
    <w:unhideWhenUsed/>
    <w:rsid w:val="00951479"/>
    <w:rPr>
      <w:color w:val="954F72" w:themeColor="followedHyperlink"/>
      <w:u w:val="single"/>
    </w:rPr>
  </w:style>
  <w:style w:type="paragraph" w:styleId="NormalWeb">
    <w:name w:val="Normal (Web)"/>
    <w:basedOn w:val="Normal"/>
    <w:uiPriority w:val="99"/>
    <w:semiHidden/>
    <w:unhideWhenUsed/>
    <w:rsid w:val="005B404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5B4049"/>
    <w:rPr>
      <w:b/>
      <w:bCs/>
    </w:rPr>
  </w:style>
  <w:style w:type="paragraph" w:styleId="Ingenmellomrom">
    <w:name w:val="No Spacing"/>
    <w:link w:val="IngenmellomromTegn"/>
    <w:uiPriority w:val="1"/>
    <w:qFormat/>
    <w:rsid w:val="000F4B4F"/>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0F4B4F"/>
    <w:rPr>
      <w:rFonts w:eastAsiaTheme="minorEastAsia"/>
      <w:lang w:eastAsia="nb-NO"/>
    </w:rPr>
  </w:style>
  <w:style w:type="table" w:styleId="Tabellrutenett">
    <w:name w:val="Table Grid"/>
    <w:basedOn w:val="Vanligtabell"/>
    <w:uiPriority w:val="39"/>
    <w:rsid w:val="00D66F07"/>
    <w:pPr>
      <w:spacing w:after="0" w:line="240" w:lineRule="auto"/>
    </w:pPr>
    <w:rPr>
      <w:rFonts w:eastAsiaTheme="minorEastAsia"/>
      <w:kern w:val="2"/>
      <w:sz w:val="21"/>
      <w:szCs w:val="2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214085">
      <w:bodyDiv w:val="1"/>
      <w:marLeft w:val="0"/>
      <w:marRight w:val="0"/>
      <w:marTop w:val="0"/>
      <w:marBottom w:val="0"/>
      <w:divBdr>
        <w:top w:val="none" w:sz="0" w:space="0" w:color="auto"/>
        <w:left w:val="none" w:sz="0" w:space="0" w:color="auto"/>
        <w:bottom w:val="none" w:sz="0" w:space="0" w:color="auto"/>
        <w:right w:val="none" w:sz="0" w:space="0" w:color="auto"/>
      </w:divBdr>
    </w:div>
    <w:div w:id="571233587">
      <w:bodyDiv w:val="1"/>
      <w:marLeft w:val="0"/>
      <w:marRight w:val="0"/>
      <w:marTop w:val="0"/>
      <w:marBottom w:val="0"/>
      <w:divBdr>
        <w:top w:val="none" w:sz="0" w:space="0" w:color="auto"/>
        <w:left w:val="none" w:sz="0" w:space="0" w:color="auto"/>
        <w:bottom w:val="none" w:sz="0" w:space="0" w:color="auto"/>
        <w:right w:val="none" w:sz="0" w:space="0" w:color="auto"/>
      </w:divBdr>
    </w:div>
    <w:div w:id="629092132">
      <w:bodyDiv w:val="1"/>
      <w:marLeft w:val="0"/>
      <w:marRight w:val="0"/>
      <w:marTop w:val="0"/>
      <w:marBottom w:val="0"/>
      <w:divBdr>
        <w:top w:val="none" w:sz="0" w:space="0" w:color="auto"/>
        <w:left w:val="none" w:sz="0" w:space="0" w:color="auto"/>
        <w:bottom w:val="none" w:sz="0" w:space="0" w:color="auto"/>
        <w:right w:val="none" w:sz="0" w:space="0" w:color="auto"/>
      </w:divBdr>
    </w:div>
    <w:div w:id="740175980">
      <w:bodyDiv w:val="1"/>
      <w:marLeft w:val="0"/>
      <w:marRight w:val="0"/>
      <w:marTop w:val="0"/>
      <w:marBottom w:val="0"/>
      <w:divBdr>
        <w:top w:val="none" w:sz="0" w:space="0" w:color="auto"/>
        <w:left w:val="none" w:sz="0" w:space="0" w:color="auto"/>
        <w:bottom w:val="none" w:sz="0" w:space="0" w:color="auto"/>
        <w:right w:val="none" w:sz="0" w:space="0" w:color="auto"/>
      </w:divBdr>
    </w:div>
    <w:div w:id="864174031">
      <w:bodyDiv w:val="1"/>
      <w:marLeft w:val="0"/>
      <w:marRight w:val="0"/>
      <w:marTop w:val="0"/>
      <w:marBottom w:val="0"/>
      <w:divBdr>
        <w:top w:val="none" w:sz="0" w:space="0" w:color="auto"/>
        <w:left w:val="none" w:sz="0" w:space="0" w:color="auto"/>
        <w:bottom w:val="none" w:sz="0" w:space="0" w:color="auto"/>
        <w:right w:val="none" w:sz="0" w:space="0" w:color="auto"/>
      </w:divBdr>
    </w:div>
    <w:div w:id="1064335906">
      <w:bodyDiv w:val="1"/>
      <w:marLeft w:val="0"/>
      <w:marRight w:val="0"/>
      <w:marTop w:val="0"/>
      <w:marBottom w:val="0"/>
      <w:divBdr>
        <w:top w:val="none" w:sz="0" w:space="0" w:color="auto"/>
        <w:left w:val="none" w:sz="0" w:space="0" w:color="auto"/>
        <w:bottom w:val="none" w:sz="0" w:space="0" w:color="auto"/>
        <w:right w:val="none" w:sz="0" w:space="0" w:color="auto"/>
      </w:divBdr>
    </w:div>
    <w:div w:id="1134788340">
      <w:bodyDiv w:val="1"/>
      <w:marLeft w:val="0"/>
      <w:marRight w:val="0"/>
      <w:marTop w:val="0"/>
      <w:marBottom w:val="0"/>
      <w:divBdr>
        <w:top w:val="none" w:sz="0" w:space="0" w:color="auto"/>
        <w:left w:val="none" w:sz="0" w:space="0" w:color="auto"/>
        <w:bottom w:val="none" w:sz="0" w:space="0" w:color="auto"/>
        <w:right w:val="none" w:sz="0" w:space="0" w:color="auto"/>
      </w:divBdr>
      <w:divsChild>
        <w:div w:id="137383446">
          <w:marLeft w:val="0"/>
          <w:marRight w:val="0"/>
          <w:marTop w:val="0"/>
          <w:marBottom w:val="0"/>
          <w:divBdr>
            <w:top w:val="none" w:sz="0" w:space="0" w:color="auto"/>
            <w:left w:val="none" w:sz="0" w:space="0" w:color="auto"/>
            <w:bottom w:val="none" w:sz="0" w:space="0" w:color="auto"/>
            <w:right w:val="none" w:sz="0" w:space="0" w:color="auto"/>
          </w:divBdr>
        </w:div>
        <w:div w:id="282808112">
          <w:marLeft w:val="0"/>
          <w:marRight w:val="0"/>
          <w:marTop w:val="0"/>
          <w:marBottom w:val="0"/>
          <w:divBdr>
            <w:top w:val="none" w:sz="0" w:space="0" w:color="auto"/>
            <w:left w:val="none" w:sz="0" w:space="0" w:color="auto"/>
            <w:bottom w:val="none" w:sz="0" w:space="0" w:color="auto"/>
            <w:right w:val="none" w:sz="0" w:space="0" w:color="auto"/>
          </w:divBdr>
        </w:div>
        <w:div w:id="808324664">
          <w:marLeft w:val="0"/>
          <w:marRight w:val="0"/>
          <w:marTop w:val="0"/>
          <w:marBottom w:val="0"/>
          <w:divBdr>
            <w:top w:val="none" w:sz="0" w:space="0" w:color="auto"/>
            <w:left w:val="none" w:sz="0" w:space="0" w:color="auto"/>
            <w:bottom w:val="none" w:sz="0" w:space="0" w:color="auto"/>
            <w:right w:val="none" w:sz="0" w:space="0" w:color="auto"/>
          </w:divBdr>
        </w:div>
        <w:div w:id="976183381">
          <w:marLeft w:val="0"/>
          <w:marRight w:val="0"/>
          <w:marTop w:val="0"/>
          <w:marBottom w:val="0"/>
          <w:divBdr>
            <w:top w:val="none" w:sz="0" w:space="0" w:color="auto"/>
            <w:left w:val="none" w:sz="0" w:space="0" w:color="auto"/>
            <w:bottom w:val="none" w:sz="0" w:space="0" w:color="auto"/>
            <w:right w:val="none" w:sz="0" w:space="0" w:color="auto"/>
          </w:divBdr>
        </w:div>
        <w:div w:id="1087192778">
          <w:marLeft w:val="0"/>
          <w:marRight w:val="0"/>
          <w:marTop w:val="0"/>
          <w:marBottom w:val="0"/>
          <w:divBdr>
            <w:top w:val="none" w:sz="0" w:space="0" w:color="auto"/>
            <w:left w:val="none" w:sz="0" w:space="0" w:color="auto"/>
            <w:bottom w:val="none" w:sz="0" w:space="0" w:color="auto"/>
            <w:right w:val="none" w:sz="0" w:space="0" w:color="auto"/>
          </w:divBdr>
        </w:div>
        <w:div w:id="1171531880">
          <w:marLeft w:val="0"/>
          <w:marRight w:val="0"/>
          <w:marTop w:val="0"/>
          <w:marBottom w:val="0"/>
          <w:divBdr>
            <w:top w:val="none" w:sz="0" w:space="0" w:color="auto"/>
            <w:left w:val="none" w:sz="0" w:space="0" w:color="auto"/>
            <w:bottom w:val="none" w:sz="0" w:space="0" w:color="auto"/>
            <w:right w:val="none" w:sz="0" w:space="0" w:color="auto"/>
          </w:divBdr>
        </w:div>
        <w:div w:id="1632662910">
          <w:marLeft w:val="0"/>
          <w:marRight w:val="0"/>
          <w:marTop w:val="0"/>
          <w:marBottom w:val="0"/>
          <w:divBdr>
            <w:top w:val="none" w:sz="0" w:space="0" w:color="auto"/>
            <w:left w:val="none" w:sz="0" w:space="0" w:color="auto"/>
            <w:bottom w:val="none" w:sz="0" w:space="0" w:color="auto"/>
            <w:right w:val="none" w:sz="0" w:space="0" w:color="auto"/>
          </w:divBdr>
        </w:div>
        <w:div w:id="2083402632">
          <w:marLeft w:val="0"/>
          <w:marRight w:val="0"/>
          <w:marTop w:val="0"/>
          <w:marBottom w:val="0"/>
          <w:divBdr>
            <w:top w:val="none" w:sz="0" w:space="0" w:color="auto"/>
            <w:left w:val="none" w:sz="0" w:space="0" w:color="auto"/>
            <w:bottom w:val="none" w:sz="0" w:space="0" w:color="auto"/>
            <w:right w:val="none" w:sz="0" w:space="0" w:color="auto"/>
          </w:divBdr>
        </w:div>
        <w:div w:id="2095583864">
          <w:marLeft w:val="0"/>
          <w:marRight w:val="0"/>
          <w:marTop w:val="0"/>
          <w:marBottom w:val="0"/>
          <w:divBdr>
            <w:top w:val="none" w:sz="0" w:space="0" w:color="auto"/>
            <w:left w:val="none" w:sz="0" w:space="0" w:color="auto"/>
            <w:bottom w:val="none" w:sz="0" w:space="0" w:color="auto"/>
            <w:right w:val="none" w:sz="0" w:space="0" w:color="auto"/>
          </w:divBdr>
        </w:div>
      </w:divsChild>
    </w:div>
    <w:div w:id="1141965606">
      <w:bodyDiv w:val="1"/>
      <w:marLeft w:val="0"/>
      <w:marRight w:val="0"/>
      <w:marTop w:val="0"/>
      <w:marBottom w:val="0"/>
      <w:divBdr>
        <w:top w:val="none" w:sz="0" w:space="0" w:color="auto"/>
        <w:left w:val="none" w:sz="0" w:space="0" w:color="auto"/>
        <w:bottom w:val="none" w:sz="0" w:space="0" w:color="auto"/>
        <w:right w:val="none" w:sz="0" w:space="0" w:color="auto"/>
      </w:divBdr>
    </w:div>
    <w:div w:id="1148473822">
      <w:bodyDiv w:val="1"/>
      <w:marLeft w:val="0"/>
      <w:marRight w:val="0"/>
      <w:marTop w:val="0"/>
      <w:marBottom w:val="0"/>
      <w:divBdr>
        <w:top w:val="none" w:sz="0" w:space="0" w:color="auto"/>
        <w:left w:val="none" w:sz="0" w:space="0" w:color="auto"/>
        <w:bottom w:val="none" w:sz="0" w:space="0" w:color="auto"/>
        <w:right w:val="none" w:sz="0" w:space="0" w:color="auto"/>
      </w:divBdr>
    </w:div>
    <w:div w:id="1173186229">
      <w:bodyDiv w:val="1"/>
      <w:marLeft w:val="0"/>
      <w:marRight w:val="0"/>
      <w:marTop w:val="0"/>
      <w:marBottom w:val="0"/>
      <w:divBdr>
        <w:top w:val="none" w:sz="0" w:space="0" w:color="auto"/>
        <w:left w:val="none" w:sz="0" w:space="0" w:color="auto"/>
        <w:bottom w:val="none" w:sz="0" w:space="0" w:color="auto"/>
        <w:right w:val="none" w:sz="0" w:space="0" w:color="auto"/>
      </w:divBdr>
    </w:div>
    <w:div w:id="1251892028">
      <w:bodyDiv w:val="1"/>
      <w:marLeft w:val="0"/>
      <w:marRight w:val="0"/>
      <w:marTop w:val="0"/>
      <w:marBottom w:val="0"/>
      <w:divBdr>
        <w:top w:val="none" w:sz="0" w:space="0" w:color="auto"/>
        <w:left w:val="none" w:sz="0" w:space="0" w:color="auto"/>
        <w:bottom w:val="none" w:sz="0" w:space="0" w:color="auto"/>
        <w:right w:val="none" w:sz="0" w:space="0" w:color="auto"/>
      </w:divBdr>
    </w:div>
    <w:div w:id="1514567086">
      <w:bodyDiv w:val="1"/>
      <w:marLeft w:val="0"/>
      <w:marRight w:val="0"/>
      <w:marTop w:val="0"/>
      <w:marBottom w:val="0"/>
      <w:divBdr>
        <w:top w:val="none" w:sz="0" w:space="0" w:color="auto"/>
        <w:left w:val="none" w:sz="0" w:space="0" w:color="auto"/>
        <w:bottom w:val="none" w:sz="0" w:space="0" w:color="auto"/>
        <w:right w:val="none" w:sz="0" w:space="0" w:color="auto"/>
      </w:divBdr>
    </w:div>
    <w:div w:id="1684240368">
      <w:bodyDiv w:val="1"/>
      <w:marLeft w:val="0"/>
      <w:marRight w:val="0"/>
      <w:marTop w:val="0"/>
      <w:marBottom w:val="0"/>
      <w:divBdr>
        <w:top w:val="none" w:sz="0" w:space="0" w:color="auto"/>
        <w:left w:val="none" w:sz="0" w:space="0" w:color="auto"/>
        <w:bottom w:val="none" w:sz="0" w:space="0" w:color="auto"/>
        <w:right w:val="none" w:sz="0" w:space="0" w:color="auto"/>
      </w:divBdr>
    </w:div>
    <w:div w:id="1827476066">
      <w:bodyDiv w:val="1"/>
      <w:marLeft w:val="0"/>
      <w:marRight w:val="0"/>
      <w:marTop w:val="0"/>
      <w:marBottom w:val="0"/>
      <w:divBdr>
        <w:top w:val="none" w:sz="0" w:space="0" w:color="auto"/>
        <w:left w:val="none" w:sz="0" w:space="0" w:color="auto"/>
        <w:bottom w:val="none" w:sz="0" w:space="0" w:color="auto"/>
        <w:right w:val="none" w:sz="0" w:space="0" w:color="auto"/>
      </w:divBdr>
    </w:div>
    <w:div w:id="2000839852">
      <w:bodyDiv w:val="1"/>
      <w:marLeft w:val="0"/>
      <w:marRight w:val="0"/>
      <w:marTop w:val="0"/>
      <w:marBottom w:val="0"/>
      <w:divBdr>
        <w:top w:val="none" w:sz="0" w:space="0" w:color="auto"/>
        <w:left w:val="none" w:sz="0" w:space="0" w:color="auto"/>
        <w:bottom w:val="none" w:sz="0" w:space="0" w:color="auto"/>
        <w:right w:val="none" w:sz="0" w:space="0" w:color="auto"/>
      </w:divBdr>
    </w:div>
    <w:div w:id="2014212211">
      <w:bodyDiv w:val="1"/>
      <w:marLeft w:val="0"/>
      <w:marRight w:val="0"/>
      <w:marTop w:val="0"/>
      <w:marBottom w:val="0"/>
      <w:divBdr>
        <w:top w:val="none" w:sz="0" w:space="0" w:color="auto"/>
        <w:left w:val="none" w:sz="0" w:space="0" w:color="auto"/>
        <w:bottom w:val="none" w:sz="0" w:space="0" w:color="auto"/>
        <w:right w:val="none" w:sz="0" w:space="0" w:color="auto"/>
      </w:divBdr>
    </w:div>
    <w:div w:id="2054228602">
      <w:bodyDiv w:val="1"/>
      <w:marLeft w:val="0"/>
      <w:marRight w:val="0"/>
      <w:marTop w:val="0"/>
      <w:marBottom w:val="0"/>
      <w:divBdr>
        <w:top w:val="none" w:sz="0" w:space="0" w:color="auto"/>
        <w:left w:val="none" w:sz="0" w:space="0" w:color="auto"/>
        <w:bottom w:val="none" w:sz="0" w:space="0" w:color="auto"/>
        <w:right w:val="none" w:sz="0" w:space="0" w:color="auto"/>
      </w:divBdr>
      <w:divsChild>
        <w:div w:id="1212571931">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law.moj.gov.tw/ENG/LawClass/LawAll.aspx?pcode=K0060001" TargetMode="External"/><Relationship Id="rId26" Type="http://schemas.openxmlformats.org/officeDocument/2006/relationships/hyperlink" Target="https://globaltaiwan.org/2020/02/closing-loopholes-in-the-legal-framework-for-government-surveillance-in-taiwan/" TargetMode="External"/><Relationship Id="rId3" Type="http://schemas.openxmlformats.org/officeDocument/2006/relationships/customXml" Target="../customXml/item3.xml"/><Relationship Id="rId21" Type="http://schemas.openxmlformats.org/officeDocument/2006/relationships/hyperlink" Target="https://cons.judicial.gov.tw/en/docdata.aspx?fid=100&amp;id=310812"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law.moj.gov.tw/Eng/LawClass/LawAll.aspx?PCode=I0050021" TargetMode="External"/><Relationship Id="rId25" Type="http://schemas.openxmlformats.org/officeDocument/2006/relationships/hyperlink" Target="https://freedomhouse.org/country/taiwan/freedom-net/202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dn.codegym.cc/images/article/3effcdd0-5b89-4574-b154-c2c1c65d945d/512.jpeg" TargetMode="External"/><Relationship Id="rId20" Type="http://schemas.openxmlformats.org/officeDocument/2006/relationships/hyperlink" Target="https://www.edpb.europa.eu/sites/default/files/files/file1/edpb_recommendations_202002_europeanessentialguaranteessurveillance_en.pdf" TargetMode="External"/><Relationship Id="rId29" Type="http://schemas.openxmlformats.org/officeDocument/2006/relationships/hyperlink" Target="https://transparency.tahr.org.tw/TITR_Report_2015_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ataguidance.com/notes/taiwan-data-protection-overview"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repository.law.uic.edu/cgi/viewcontent.cgi?article=1758&amp;context=jitpl" TargetMode="External"/><Relationship Id="rId28" Type="http://schemas.openxmlformats.org/officeDocument/2006/relationships/hyperlink" Target="https://www.leeandli.com/EN/NewslettersDetail/6496.htm" TargetMode="External"/><Relationship Id="rId10" Type="http://schemas.openxmlformats.org/officeDocument/2006/relationships/footnotes" Target="footnotes.xml"/><Relationship Id="rId19" Type="http://schemas.openxmlformats.org/officeDocument/2006/relationships/hyperlink" Target="https://law.moj.gov.tw/ENG/LawClass/LawAll.aspx?pcode=K0060111" TargetMode="External"/><Relationship Id="rId31" Type="http://schemas.openxmlformats.org/officeDocument/2006/relationships/hyperlink" Target="https://cdn.codegym.cc/images/article/3effcdd0-5b89-4574-b154-c2c1c65d945d/512.jpe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lovdata.no/dokument/NL/lov/1999-05-21-30/KAPITTEL_2" TargetMode="External"/><Relationship Id="rId27" Type="http://schemas.openxmlformats.org/officeDocument/2006/relationships/hyperlink" Target="https://en.wikipedia.org/wiki/Legislative_Yuan" TargetMode="External"/><Relationship Id="rId30" Type="http://schemas.openxmlformats.org/officeDocument/2006/relationships/hyperlink" Target="https://transparencyreport.google.com/user-data/overview?hl=en_US&amp;user_requests_report_period=series:requests,accounts;authority:TW;time:&amp;lu=legal_process_breakdown&amp;legal_process_breakdown=expanded:0" TargetMode="Externa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law.moj.gov.tw/ENG/LawClass/LawAll.aspx?pcode=K0060001" TargetMode="External"/><Relationship Id="rId13" Type="http://schemas.openxmlformats.org/officeDocument/2006/relationships/hyperlink" Target="https://en.wikipedia.org/wiki/Legislative_Yuan" TargetMode="External"/><Relationship Id="rId18" Type="http://schemas.openxmlformats.org/officeDocument/2006/relationships/hyperlink" Target="https://globaltaiwan.org/2020/02/closing-loopholes-in-the-legal-framework-for-government-surveillance-in-taiwan/" TargetMode="External"/><Relationship Id="rId3" Type="http://schemas.openxmlformats.org/officeDocument/2006/relationships/hyperlink" Target="https://law.moj.gov.tw/Eng/LawClass/LawAll.aspx?PCode=I0050021" TargetMode="External"/><Relationship Id="rId7" Type="http://schemas.openxmlformats.org/officeDocument/2006/relationships/hyperlink" Target="https://freedomhouse.org/country/taiwan/freedom-net/2021" TargetMode="External"/><Relationship Id="rId12" Type="http://schemas.openxmlformats.org/officeDocument/2006/relationships/hyperlink" Target="https://www.edpb.europa.eu/sites/default/files/files/file1/edpb_recommendations_202002_europeanessentialguaranteessurveillance_en.pdf" TargetMode="External"/><Relationship Id="rId17" Type="http://schemas.openxmlformats.org/officeDocument/2006/relationships/hyperlink" Target="https://cons.judicial.gov.tw/en/docdata.aspx?fid=100&amp;id=310812" TargetMode="External"/><Relationship Id="rId2" Type="http://schemas.openxmlformats.org/officeDocument/2006/relationships/hyperlink" Target="https://law.moj.gov.tw/Eng/LawClass/LawAll.aspx?PCode=I0050021" TargetMode="External"/><Relationship Id="rId16" Type="http://schemas.openxmlformats.org/officeDocument/2006/relationships/hyperlink" Target="https://www.dataguidance.com/notes/taiwan-data-protection-overview" TargetMode="External"/><Relationship Id="rId20" Type="http://schemas.openxmlformats.org/officeDocument/2006/relationships/hyperlink" Target="https://transparencyreport.google.com/user-data/overview?hl=en_US&amp;user_requests_report_period=series:requests,accounts;authority:TW;time:&amp;lu=legal_process_breakdown&amp;legal_process_breakdown=expanded:0" TargetMode="External"/><Relationship Id="rId1" Type="http://schemas.openxmlformats.org/officeDocument/2006/relationships/hyperlink" Target="https://transparency.tahr.org.tw/TITR_Report_2015_en.pdf" TargetMode="External"/><Relationship Id="rId6" Type="http://schemas.openxmlformats.org/officeDocument/2006/relationships/hyperlink" Target="https://www.leeandli.com/EN/NewslettersDetail/6496.htm" TargetMode="External"/><Relationship Id="rId11" Type="http://schemas.openxmlformats.org/officeDocument/2006/relationships/hyperlink" Target="https://www.edpb.europa.eu/sites/default/files/files/file1/edpb_recommendations_202002_europeanessentialguaranteessurveillance_en.pdf" TargetMode="External"/><Relationship Id="rId5" Type="http://schemas.openxmlformats.org/officeDocument/2006/relationships/hyperlink" Target="https://www.dataguidance.com/notes/taiwan-data-protection-overview" TargetMode="External"/><Relationship Id="rId15" Type="http://schemas.openxmlformats.org/officeDocument/2006/relationships/hyperlink" Target="https://www.edpb.europa.eu/sites/default/files/files/file1/edpb_recommendations_202002_europeanessentialguaranteessurveillance_en.pdf" TargetMode="External"/><Relationship Id="rId10" Type="http://schemas.openxmlformats.org/officeDocument/2006/relationships/hyperlink" Target="https://www.edpb.europa.eu/system/files/2021-06/edpb_recommendations_202001vo.2.0_supplementarymeasurestransferstools_en.pdf" TargetMode="External"/><Relationship Id="rId19" Type="http://schemas.openxmlformats.org/officeDocument/2006/relationships/hyperlink" Target="https://transparency.tahr.org.tw/TITR_Report_2015_en.pdf" TargetMode="External"/><Relationship Id="rId4" Type="http://schemas.openxmlformats.org/officeDocument/2006/relationships/hyperlink" Target="https://www.dataguidance.com/notes/taiwan-data-protection-overview" TargetMode="External"/><Relationship Id="rId9" Type="http://schemas.openxmlformats.org/officeDocument/2006/relationships/hyperlink" Target="https://repository.law.uic.edu/cgi/viewcontent.cgi?article=1758&amp;context=jitpl" TargetMode="External"/><Relationship Id="rId14" Type="http://schemas.openxmlformats.org/officeDocument/2006/relationships/hyperlink" Target="https://www.dataguidance.com/notes/taiwan-data-protection-overview"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2024-08-28T00:00:00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4" ma:contentTypeDescription="Opprett et nytt dokument." ma:contentTypeScope="" ma:versionID="274267270dac74b058d562feeba717f3">
  <xsd:schema xmlns:xsd="http://www.w3.org/2001/XMLSchema" xmlns:xs="http://www.w3.org/2001/XMLSchema" xmlns:p="http://schemas.microsoft.com/office/2006/metadata/properties" xmlns:ns2="1f63f2be-a376-4ac4-9c92-f9c00b2ba94a" xmlns:ns3="6d9e3cb1-1946-4501-850b-3c71ea179c69" targetNamespace="http://schemas.microsoft.com/office/2006/metadata/properties" ma:root="true" ma:fieldsID="cb557a081d9111410bab9861ef8b6f8f" ns2:_="" ns3:_="">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D29C29-8326-4610-A20E-617540684835}">
  <ds:schemaRefs>
    <ds:schemaRef ds:uri="http://schemas.openxmlformats.org/officeDocument/2006/bibliography"/>
  </ds:schemaRefs>
</ds:datastoreItem>
</file>

<file path=customXml/itemProps3.xml><?xml version="1.0" encoding="utf-8"?>
<ds:datastoreItem xmlns:ds="http://schemas.openxmlformats.org/officeDocument/2006/customXml" ds:itemID="{E8834B63-54F6-40B4-B02E-593EEBC7F2B0}">
  <ds:schemaRefs>
    <ds:schemaRef ds:uri="http://schemas.microsoft.com/sharepoint/v3/contenttype/forms"/>
  </ds:schemaRefs>
</ds:datastoreItem>
</file>

<file path=customXml/itemProps4.xml><?xml version="1.0" encoding="utf-8"?>
<ds:datastoreItem xmlns:ds="http://schemas.openxmlformats.org/officeDocument/2006/customXml" ds:itemID="{7AAA5AEA-EAB7-4FE3-A8F3-35A053C5A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D78308-5A67-4233-AFA8-AFC1842C3D87}">
  <ds:schemaRefs>
    <ds:schemaRef ds:uri="http://schemas.microsoft.com/office/2006/metadata/properties"/>
    <ds:schemaRef ds:uri="http://schemas.microsoft.com/office/infopath/2007/PartnerControls"/>
    <ds:schemaRef ds:uri="1f63f2be-a376-4ac4-9c92-f9c00b2ba94a"/>
  </ds:schemaRefs>
</ds:datastoreItem>
</file>

<file path=docMetadata/LabelInfo.xml><?xml version="1.0" encoding="utf-8"?>
<clbl:labelList xmlns:clbl="http://schemas.microsoft.com/office/2020/mipLabelMetadata">
  <clbl:label id="{d41caaa9-a41a-4e0f-9bf6-05cd1f48d271}" enabled="0" method="" siteId="{d41caaa9-a41a-4e0f-9bf6-05cd1f48d271}" removed="1"/>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9933</Words>
  <Characters>52647</Characters>
  <Application>Microsoft Office Word</Application>
  <DocSecurity>4</DocSecurity>
  <Lines>438</Lines>
  <Paragraphs>124</Paragraphs>
  <ScaleCrop>false</ScaleCrop>
  <HeadingPairs>
    <vt:vector size="2" baseType="variant">
      <vt:variant>
        <vt:lpstr>Tittel</vt:lpstr>
      </vt:variant>
      <vt:variant>
        <vt:i4>1</vt:i4>
      </vt:variant>
    </vt:vector>
  </HeadingPairs>
  <TitlesOfParts>
    <vt:vector size="1" baseType="lpstr">
      <vt:lpstr>Rapport</vt:lpstr>
    </vt:vector>
  </TitlesOfParts>
  <Company/>
  <LinksUpToDate>false</LinksUpToDate>
  <CharactersWithSpaces>62456</CharactersWithSpaces>
  <SharedDoc>false</SharedDoc>
  <HLinks>
    <vt:vector size="324" baseType="variant">
      <vt:variant>
        <vt:i4>7995507</vt:i4>
      </vt:variant>
      <vt:variant>
        <vt:i4>162</vt:i4>
      </vt:variant>
      <vt:variant>
        <vt:i4>0</vt:i4>
      </vt:variant>
      <vt:variant>
        <vt:i4>5</vt:i4>
      </vt:variant>
      <vt:variant>
        <vt:lpwstr>https://cdn.codegym.cc/images/article/3effcdd0-5b89-4574-b154-c2c1c65d945d/512.jpeg</vt:lpwstr>
      </vt:variant>
      <vt:variant>
        <vt:lpwstr/>
      </vt:variant>
      <vt:variant>
        <vt:i4>4980746</vt:i4>
      </vt:variant>
      <vt:variant>
        <vt:i4>159</vt:i4>
      </vt:variant>
      <vt:variant>
        <vt:i4>0</vt:i4>
      </vt:variant>
      <vt:variant>
        <vt:i4>5</vt:i4>
      </vt:variant>
      <vt:variant>
        <vt:lpwstr>https://transparencyreport.google.com/user-data/overview?hl=en_US&amp;user_requests_report_period=series:requests,accounts;authority:TW;time:&amp;lu=legal_process_breakdown&amp;legal_process_breakdown=expanded:0</vt:lpwstr>
      </vt:variant>
      <vt:variant>
        <vt:lpwstr/>
      </vt:variant>
      <vt:variant>
        <vt:i4>262193</vt:i4>
      </vt:variant>
      <vt:variant>
        <vt:i4>156</vt:i4>
      </vt:variant>
      <vt:variant>
        <vt:i4>0</vt:i4>
      </vt:variant>
      <vt:variant>
        <vt:i4>5</vt:i4>
      </vt:variant>
      <vt:variant>
        <vt:lpwstr>https://transparency.tahr.org.tw/TITR_Report_2015_en.pdf</vt:lpwstr>
      </vt:variant>
      <vt:variant>
        <vt:lpwstr/>
      </vt:variant>
      <vt:variant>
        <vt:i4>2162785</vt:i4>
      </vt:variant>
      <vt:variant>
        <vt:i4>153</vt:i4>
      </vt:variant>
      <vt:variant>
        <vt:i4>0</vt:i4>
      </vt:variant>
      <vt:variant>
        <vt:i4>5</vt:i4>
      </vt:variant>
      <vt:variant>
        <vt:lpwstr>https://www.leeandli.com/EN/NewslettersDetail/6496.htm</vt:lpwstr>
      </vt:variant>
      <vt:variant>
        <vt:lpwstr/>
      </vt:variant>
      <vt:variant>
        <vt:i4>721017</vt:i4>
      </vt:variant>
      <vt:variant>
        <vt:i4>150</vt:i4>
      </vt:variant>
      <vt:variant>
        <vt:i4>0</vt:i4>
      </vt:variant>
      <vt:variant>
        <vt:i4>5</vt:i4>
      </vt:variant>
      <vt:variant>
        <vt:lpwstr>https://en.wikipedia.org/wiki/Legislative_Yuan</vt:lpwstr>
      </vt:variant>
      <vt:variant>
        <vt:lpwstr/>
      </vt:variant>
      <vt:variant>
        <vt:i4>5898315</vt:i4>
      </vt:variant>
      <vt:variant>
        <vt:i4>147</vt:i4>
      </vt:variant>
      <vt:variant>
        <vt:i4>0</vt:i4>
      </vt:variant>
      <vt:variant>
        <vt:i4>5</vt:i4>
      </vt:variant>
      <vt:variant>
        <vt:lpwstr>https://globaltaiwan.org/2020/02/closing-loopholes-in-the-legal-framework-for-government-surveillance-in-taiwan/</vt:lpwstr>
      </vt:variant>
      <vt:variant>
        <vt:lpwstr/>
      </vt:variant>
      <vt:variant>
        <vt:i4>5177361</vt:i4>
      </vt:variant>
      <vt:variant>
        <vt:i4>144</vt:i4>
      </vt:variant>
      <vt:variant>
        <vt:i4>0</vt:i4>
      </vt:variant>
      <vt:variant>
        <vt:i4>5</vt:i4>
      </vt:variant>
      <vt:variant>
        <vt:lpwstr>https://freedomhouse.org/country/taiwan/freedom-net/2021</vt:lpwstr>
      </vt:variant>
      <vt:variant>
        <vt:lpwstr/>
      </vt:variant>
      <vt:variant>
        <vt:i4>3276841</vt:i4>
      </vt:variant>
      <vt:variant>
        <vt:i4>141</vt:i4>
      </vt:variant>
      <vt:variant>
        <vt:i4>0</vt:i4>
      </vt:variant>
      <vt:variant>
        <vt:i4>5</vt:i4>
      </vt:variant>
      <vt:variant>
        <vt:lpwstr>https://www.dataguidance.com/notes/taiwan-data-protection-overview</vt:lpwstr>
      </vt:variant>
      <vt:variant>
        <vt:lpwstr/>
      </vt:variant>
      <vt:variant>
        <vt:i4>72</vt:i4>
      </vt:variant>
      <vt:variant>
        <vt:i4>138</vt:i4>
      </vt:variant>
      <vt:variant>
        <vt:i4>0</vt:i4>
      </vt:variant>
      <vt:variant>
        <vt:i4>5</vt:i4>
      </vt:variant>
      <vt:variant>
        <vt:lpwstr>https://repository.law.uic.edu/cgi/viewcontent.cgi?article=1758&amp;context=jitpl</vt:lpwstr>
      </vt:variant>
      <vt:variant>
        <vt:lpwstr/>
      </vt:variant>
      <vt:variant>
        <vt:i4>3276900</vt:i4>
      </vt:variant>
      <vt:variant>
        <vt:i4>135</vt:i4>
      </vt:variant>
      <vt:variant>
        <vt:i4>0</vt:i4>
      </vt:variant>
      <vt:variant>
        <vt:i4>5</vt:i4>
      </vt:variant>
      <vt:variant>
        <vt:lpwstr>https://lovdata.no/dokument/NL/lov/1999-05-21-30/KAPITTEL_2</vt:lpwstr>
      </vt:variant>
      <vt:variant>
        <vt:lpwstr>KAPITTEL_2</vt:lpwstr>
      </vt:variant>
      <vt:variant>
        <vt:i4>6619235</vt:i4>
      </vt:variant>
      <vt:variant>
        <vt:i4>132</vt:i4>
      </vt:variant>
      <vt:variant>
        <vt:i4>0</vt:i4>
      </vt:variant>
      <vt:variant>
        <vt:i4>5</vt:i4>
      </vt:variant>
      <vt:variant>
        <vt:lpwstr>https://cons.judicial.gov.tw/en/docdata.aspx?fid=100&amp;id=310812</vt:lpwstr>
      </vt:variant>
      <vt:variant>
        <vt:lpwstr/>
      </vt:variant>
      <vt:variant>
        <vt:i4>5242974</vt:i4>
      </vt:variant>
      <vt:variant>
        <vt:i4>129</vt:i4>
      </vt:variant>
      <vt:variant>
        <vt:i4>0</vt:i4>
      </vt:variant>
      <vt:variant>
        <vt:i4>5</vt:i4>
      </vt:variant>
      <vt:variant>
        <vt:lpwstr>https://www.edpb.europa.eu/sites/default/files/files/file1/edpb_recommendations_202002_europeanessentialguaranteessurveillance_en.pdf</vt:lpwstr>
      </vt:variant>
      <vt:variant>
        <vt:lpwstr/>
      </vt:variant>
      <vt:variant>
        <vt:i4>8257589</vt:i4>
      </vt:variant>
      <vt:variant>
        <vt:i4>126</vt:i4>
      </vt:variant>
      <vt:variant>
        <vt:i4>0</vt:i4>
      </vt:variant>
      <vt:variant>
        <vt:i4>5</vt:i4>
      </vt:variant>
      <vt:variant>
        <vt:lpwstr>https://law.moj.gov.tw/ENG/LawClass/LawAll.aspx?pcode=K0060111</vt:lpwstr>
      </vt:variant>
      <vt:variant>
        <vt:lpwstr/>
      </vt:variant>
      <vt:variant>
        <vt:i4>8323124</vt:i4>
      </vt:variant>
      <vt:variant>
        <vt:i4>123</vt:i4>
      </vt:variant>
      <vt:variant>
        <vt:i4>0</vt:i4>
      </vt:variant>
      <vt:variant>
        <vt:i4>5</vt:i4>
      </vt:variant>
      <vt:variant>
        <vt:lpwstr>https://law.moj.gov.tw/ENG/LawClass/LawAll.aspx?pcode=K0060001</vt:lpwstr>
      </vt:variant>
      <vt:variant>
        <vt:lpwstr/>
      </vt:variant>
      <vt:variant>
        <vt:i4>8126516</vt:i4>
      </vt:variant>
      <vt:variant>
        <vt:i4>120</vt:i4>
      </vt:variant>
      <vt:variant>
        <vt:i4>0</vt:i4>
      </vt:variant>
      <vt:variant>
        <vt:i4>5</vt:i4>
      </vt:variant>
      <vt:variant>
        <vt:lpwstr>https://law.moj.gov.tw/Eng/LawClass/LawAll.aspx?PCode=I0050021</vt:lpwstr>
      </vt:variant>
      <vt:variant>
        <vt:lpwstr/>
      </vt:variant>
      <vt:variant>
        <vt:i4>7995507</vt:i4>
      </vt:variant>
      <vt:variant>
        <vt:i4>117</vt:i4>
      </vt:variant>
      <vt:variant>
        <vt:i4>0</vt:i4>
      </vt:variant>
      <vt:variant>
        <vt:i4>5</vt:i4>
      </vt:variant>
      <vt:variant>
        <vt:lpwstr>https://cdn.codegym.cc/images/article/3effcdd0-5b89-4574-b154-c2c1c65d945d/512.jpeg</vt:lpwstr>
      </vt:variant>
      <vt:variant>
        <vt:lpwstr/>
      </vt:variant>
      <vt:variant>
        <vt:i4>1507379</vt:i4>
      </vt:variant>
      <vt:variant>
        <vt:i4>98</vt:i4>
      </vt:variant>
      <vt:variant>
        <vt:i4>0</vt:i4>
      </vt:variant>
      <vt:variant>
        <vt:i4>5</vt:i4>
      </vt:variant>
      <vt:variant>
        <vt:lpwstr/>
      </vt:variant>
      <vt:variant>
        <vt:lpwstr>_Toc166668283</vt:lpwstr>
      </vt:variant>
      <vt:variant>
        <vt:i4>1507379</vt:i4>
      </vt:variant>
      <vt:variant>
        <vt:i4>92</vt:i4>
      </vt:variant>
      <vt:variant>
        <vt:i4>0</vt:i4>
      </vt:variant>
      <vt:variant>
        <vt:i4>5</vt:i4>
      </vt:variant>
      <vt:variant>
        <vt:lpwstr/>
      </vt:variant>
      <vt:variant>
        <vt:lpwstr>_Toc166668282</vt:lpwstr>
      </vt:variant>
      <vt:variant>
        <vt:i4>1507379</vt:i4>
      </vt:variant>
      <vt:variant>
        <vt:i4>86</vt:i4>
      </vt:variant>
      <vt:variant>
        <vt:i4>0</vt:i4>
      </vt:variant>
      <vt:variant>
        <vt:i4>5</vt:i4>
      </vt:variant>
      <vt:variant>
        <vt:lpwstr/>
      </vt:variant>
      <vt:variant>
        <vt:lpwstr>_Toc166668281</vt:lpwstr>
      </vt:variant>
      <vt:variant>
        <vt:i4>1507379</vt:i4>
      </vt:variant>
      <vt:variant>
        <vt:i4>80</vt:i4>
      </vt:variant>
      <vt:variant>
        <vt:i4>0</vt:i4>
      </vt:variant>
      <vt:variant>
        <vt:i4>5</vt:i4>
      </vt:variant>
      <vt:variant>
        <vt:lpwstr/>
      </vt:variant>
      <vt:variant>
        <vt:lpwstr>_Toc166668280</vt:lpwstr>
      </vt:variant>
      <vt:variant>
        <vt:i4>1572915</vt:i4>
      </vt:variant>
      <vt:variant>
        <vt:i4>74</vt:i4>
      </vt:variant>
      <vt:variant>
        <vt:i4>0</vt:i4>
      </vt:variant>
      <vt:variant>
        <vt:i4>5</vt:i4>
      </vt:variant>
      <vt:variant>
        <vt:lpwstr/>
      </vt:variant>
      <vt:variant>
        <vt:lpwstr>_Toc166668279</vt:lpwstr>
      </vt:variant>
      <vt:variant>
        <vt:i4>1572915</vt:i4>
      </vt:variant>
      <vt:variant>
        <vt:i4>68</vt:i4>
      </vt:variant>
      <vt:variant>
        <vt:i4>0</vt:i4>
      </vt:variant>
      <vt:variant>
        <vt:i4>5</vt:i4>
      </vt:variant>
      <vt:variant>
        <vt:lpwstr/>
      </vt:variant>
      <vt:variant>
        <vt:lpwstr>_Toc166668278</vt:lpwstr>
      </vt:variant>
      <vt:variant>
        <vt:i4>1572915</vt:i4>
      </vt:variant>
      <vt:variant>
        <vt:i4>62</vt:i4>
      </vt:variant>
      <vt:variant>
        <vt:i4>0</vt:i4>
      </vt:variant>
      <vt:variant>
        <vt:i4>5</vt:i4>
      </vt:variant>
      <vt:variant>
        <vt:lpwstr/>
      </vt:variant>
      <vt:variant>
        <vt:lpwstr>_Toc166668277</vt:lpwstr>
      </vt:variant>
      <vt:variant>
        <vt:i4>1572915</vt:i4>
      </vt:variant>
      <vt:variant>
        <vt:i4>56</vt:i4>
      </vt:variant>
      <vt:variant>
        <vt:i4>0</vt:i4>
      </vt:variant>
      <vt:variant>
        <vt:i4>5</vt:i4>
      </vt:variant>
      <vt:variant>
        <vt:lpwstr/>
      </vt:variant>
      <vt:variant>
        <vt:lpwstr>_Toc166668276</vt:lpwstr>
      </vt:variant>
      <vt:variant>
        <vt:i4>1572915</vt:i4>
      </vt:variant>
      <vt:variant>
        <vt:i4>50</vt:i4>
      </vt:variant>
      <vt:variant>
        <vt:i4>0</vt:i4>
      </vt:variant>
      <vt:variant>
        <vt:i4>5</vt:i4>
      </vt:variant>
      <vt:variant>
        <vt:lpwstr/>
      </vt:variant>
      <vt:variant>
        <vt:lpwstr>_Toc166668275</vt:lpwstr>
      </vt:variant>
      <vt:variant>
        <vt:i4>1572915</vt:i4>
      </vt:variant>
      <vt:variant>
        <vt:i4>44</vt:i4>
      </vt:variant>
      <vt:variant>
        <vt:i4>0</vt:i4>
      </vt:variant>
      <vt:variant>
        <vt:i4>5</vt:i4>
      </vt:variant>
      <vt:variant>
        <vt:lpwstr/>
      </vt:variant>
      <vt:variant>
        <vt:lpwstr>_Toc166668274</vt:lpwstr>
      </vt:variant>
      <vt:variant>
        <vt:i4>1572915</vt:i4>
      </vt:variant>
      <vt:variant>
        <vt:i4>38</vt:i4>
      </vt:variant>
      <vt:variant>
        <vt:i4>0</vt:i4>
      </vt:variant>
      <vt:variant>
        <vt:i4>5</vt:i4>
      </vt:variant>
      <vt:variant>
        <vt:lpwstr/>
      </vt:variant>
      <vt:variant>
        <vt:lpwstr>_Toc166668273</vt:lpwstr>
      </vt:variant>
      <vt:variant>
        <vt:i4>1572915</vt:i4>
      </vt:variant>
      <vt:variant>
        <vt:i4>32</vt:i4>
      </vt:variant>
      <vt:variant>
        <vt:i4>0</vt:i4>
      </vt:variant>
      <vt:variant>
        <vt:i4>5</vt:i4>
      </vt:variant>
      <vt:variant>
        <vt:lpwstr/>
      </vt:variant>
      <vt:variant>
        <vt:lpwstr>_Toc166668272</vt:lpwstr>
      </vt:variant>
      <vt:variant>
        <vt:i4>1572915</vt:i4>
      </vt:variant>
      <vt:variant>
        <vt:i4>26</vt:i4>
      </vt:variant>
      <vt:variant>
        <vt:i4>0</vt:i4>
      </vt:variant>
      <vt:variant>
        <vt:i4>5</vt:i4>
      </vt:variant>
      <vt:variant>
        <vt:lpwstr/>
      </vt:variant>
      <vt:variant>
        <vt:lpwstr>_Toc166668271</vt:lpwstr>
      </vt:variant>
      <vt:variant>
        <vt:i4>1572915</vt:i4>
      </vt:variant>
      <vt:variant>
        <vt:i4>20</vt:i4>
      </vt:variant>
      <vt:variant>
        <vt:i4>0</vt:i4>
      </vt:variant>
      <vt:variant>
        <vt:i4>5</vt:i4>
      </vt:variant>
      <vt:variant>
        <vt:lpwstr/>
      </vt:variant>
      <vt:variant>
        <vt:lpwstr>_Toc166668270</vt:lpwstr>
      </vt:variant>
      <vt:variant>
        <vt:i4>1638451</vt:i4>
      </vt:variant>
      <vt:variant>
        <vt:i4>14</vt:i4>
      </vt:variant>
      <vt:variant>
        <vt:i4>0</vt:i4>
      </vt:variant>
      <vt:variant>
        <vt:i4>5</vt:i4>
      </vt:variant>
      <vt:variant>
        <vt:lpwstr/>
      </vt:variant>
      <vt:variant>
        <vt:lpwstr>_Toc166668269</vt:lpwstr>
      </vt:variant>
      <vt:variant>
        <vt:i4>1638451</vt:i4>
      </vt:variant>
      <vt:variant>
        <vt:i4>8</vt:i4>
      </vt:variant>
      <vt:variant>
        <vt:i4>0</vt:i4>
      </vt:variant>
      <vt:variant>
        <vt:i4>5</vt:i4>
      </vt:variant>
      <vt:variant>
        <vt:lpwstr/>
      </vt:variant>
      <vt:variant>
        <vt:lpwstr>_Toc166668268</vt:lpwstr>
      </vt:variant>
      <vt:variant>
        <vt:i4>1638451</vt:i4>
      </vt:variant>
      <vt:variant>
        <vt:i4>2</vt:i4>
      </vt:variant>
      <vt:variant>
        <vt:i4>0</vt:i4>
      </vt:variant>
      <vt:variant>
        <vt:i4>5</vt:i4>
      </vt:variant>
      <vt:variant>
        <vt:lpwstr/>
      </vt:variant>
      <vt:variant>
        <vt:lpwstr>_Toc166668267</vt:lpwstr>
      </vt:variant>
      <vt:variant>
        <vt:i4>4980746</vt:i4>
      </vt:variant>
      <vt:variant>
        <vt:i4>60</vt:i4>
      </vt:variant>
      <vt:variant>
        <vt:i4>0</vt:i4>
      </vt:variant>
      <vt:variant>
        <vt:i4>5</vt:i4>
      </vt:variant>
      <vt:variant>
        <vt:lpwstr>https://transparencyreport.google.com/user-data/overview?hl=en_US&amp;user_requests_report_period=series:requests,accounts;authority:TW;time:&amp;lu=legal_process_breakdown&amp;legal_process_breakdown=expanded:0</vt:lpwstr>
      </vt:variant>
      <vt:variant>
        <vt:lpwstr/>
      </vt:variant>
      <vt:variant>
        <vt:i4>262193</vt:i4>
      </vt:variant>
      <vt:variant>
        <vt:i4>57</vt:i4>
      </vt:variant>
      <vt:variant>
        <vt:i4>0</vt:i4>
      </vt:variant>
      <vt:variant>
        <vt:i4>5</vt:i4>
      </vt:variant>
      <vt:variant>
        <vt:lpwstr>https://transparency.tahr.org.tw/TITR_Report_2015_en.pdf</vt:lpwstr>
      </vt:variant>
      <vt:variant>
        <vt:lpwstr/>
      </vt:variant>
      <vt:variant>
        <vt:i4>5898315</vt:i4>
      </vt:variant>
      <vt:variant>
        <vt:i4>54</vt:i4>
      </vt:variant>
      <vt:variant>
        <vt:i4>0</vt:i4>
      </vt:variant>
      <vt:variant>
        <vt:i4>5</vt:i4>
      </vt:variant>
      <vt:variant>
        <vt:lpwstr>https://globaltaiwan.org/2020/02/closing-loopholes-in-the-legal-framework-for-government-surveillance-in-taiwan/</vt:lpwstr>
      </vt:variant>
      <vt:variant>
        <vt:lpwstr/>
      </vt:variant>
      <vt:variant>
        <vt:i4>6619235</vt:i4>
      </vt:variant>
      <vt:variant>
        <vt:i4>51</vt:i4>
      </vt:variant>
      <vt:variant>
        <vt:i4>0</vt:i4>
      </vt:variant>
      <vt:variant>
        <vt:i4>5</vt:i4>
      </vt:variant>
      <vt:variant>
        <vt:lpwstr>https://cons.judicial.gov.tw/en/docdata.aspx?fid=100&amp;id=310812</vt:lpwstr>
      </vt:variant>
      <vt:variant>
        <vt:lpwstr/>
      </vt:variant>
      <vt:variant>
        <vt:i4>3276841</vt:i4>
      </vt:variant>
      <vt:variant>
        <vt:i4>48</vt:i4>
      </vt:variant>
      <vt:variant>
        <vt:i4>0</vt:i4>
      </vt:variant>
      <vt:variant>
        <vt:i4>5</vt:i4>
      </vt:variant>
      <vt:variant>
        <vt:lpwstr>https://www.dataguidance.com/notes/taiwan-data-protection-overview</vt:lpwstr>
      </vt:variant>
      <vt:variant>
        <vt:lpwstr/>
      </vt:variant>
      <vt:variant>
        <vt:i4>5242974</vt:i4>
      </vt:variant>
      <vt:variant>
        <vt:i4>45</vt:i4>
      </vt:variant>
      <vt:variant>
        <vt:i4>0</vt:i4>
      </vt:variant>
      <vt:variant>
        <vt:i4>5</vt:i4>
      </vt:variant>
      <vt:variant>
        <vt:lpwstr>https://www.edpb.europa.eu/sites/default/files/files/file1/edpb_recommendations_202002_europeanessentialguaranteessurveillance_en.pdf</vt:lpwstr>
      </vt:variant>
      <vt:variant>
        <vt:lpwstr/>
      </vt:variant>
      <vt:variant>
        <vt:i4>3276841</vt:i4>
      </vt:variant>
      <vt:variant>
        <vt:i4>42</vt:i4>
      </vt:variant>
      <vt:variant>
        <vt:i4>0</vt:i4>
      </vt:variant>
      <vt:variant>
        <vt:i4>5</vt:i4>
      </vt:variant>
      <vt:variant>
        <vt:lpwstr>https://www.dataguidance.com/notes/taiwan-data-protection-overview</vt:lpwstr>
      </vt:variant>
      <vt:variant>
        <vt:lpwstr/>
      </vt:variant>
      <vt:variant>
        <vt:i4>721017</vt:i4>
      </vt:variant>
      <vt:variant>
        <vt:i4>39</vt:i4>
      </vt:variant>
      <vt:variant>
        <vt:i4>0</vt:i4>
      </vt:variant>
      <vt:variant>
        <vt:i4>5</vt:i4>
      </vt:variant>
      <vt:variant>
        <vt:lpwstr>https://en.wikipedia.org/wiki/Legislative_Yuan</vt:lpwstr>
      </vt:variant>
      <vt:variant>
        <vt:lpwstr/>
      </vt:variant>
      <vt:variant>
        <vt:i4>5242974</vt:i4>
      </vt:variant>
      <vt:variant>
        <vt:i4>36</vt:i4>
      </vt:variant>
      <vt:variant>
        <vt:i4>0</vt:i4>
      </vt:variant>
      <vt:variant>
        <vt:i4>5</vt:i4>
      </vt:variant>
      <vt:variant>
        <vt:lpwstr>https://www.edpb.europa.eu/sites/default/files/files/file1/edpb_recommendations_202002_europeanessentialguaranteessurveillance_en.pdf</vt:lpwstr>
      </vt:variant>
      <vt:variant>
        <vt:lpwstr/>
      </vt:variant>
      <vt:variant>
        <vt:i4>7995507</vt:i4>
      </vt:variant>
      <vt:variant>
        <vt:i4>33</vt:i4>
      </vt:variant>
      <vt:variant>
        <vt:i4>0</vt:i4>
      </vt:variant>
      <vt:variant>
        <vt:i4>5</vt:i4>
      </vt:variant>
      <vt:variant>
        <vt:lpwstr>https://cdn.codegym.cc/images/article/3effcdd0-5b89-4574-b154-c2c1c65d945d/512.jpeg</vt:lpwstr>
      </vt:variant>
      <vt:variant>
        <vt:lpwstr/>
      </vt:variant>
      <vt:variant>
        <vt:i4>5242974</vt:i4>
      </vt:variant>
      <vt:variant>
        <vt:i4>30</vt:i4>
      </vt:variant>
      <vt:variant>
        <vt:i4>0</vt:i4>
      </vt:variant>
      <vt:variant>
        <vt:i4>5</vt:i4>
      </vt:variant>
      <vt:variant>
        <vt:lpwstr>https://www.edpb.europa.eu/sites/default/files/files/file1/edpb_recommendations_202002_europeanessentialguaranteessurveillance_en.pdf</vt:lpwstr>
      </vt:variant>
      <vt:variant>
        <vt:lpwstr/>
      </vt:variant>
      <vt:variant>
        <vt:i4>4456514</vt:i4>
      </vt:variant>
      <vt:variant>
        <vt:i4>27</vt:i4>
      </vt:variant>
      <vt:variant>
        <vt:i4>0</vt:i4>
      </vt:variant>
      <vt:variant>
        <vt:i4>5</vt:i4>
      </vt:variant>
      <vt:variant>
        <vt:lpwstr>https://www.edpb.europa.eu/system/files/2021-06/edpb_recommendations_202001vo.2.0_supplementarymeasurestransferstools_en.pdf</vt:lpwstr>
      </vt:variant>
      <vt:variant>
        <vt:lpwstr/>
      </vt:variant>
      <vt:variant>
        <vt:i4>72</vt:i4>
      </vt:variant>
      <vt:variant>
        <vt:i4>24</vt:i4>
      </vt:variant>
      <vt:variant>
        <vt:i4>0</vt:i4>
      </vt:variant>
      <vt:variant>
        <vt:i4>5</vt:i4>
      </vt:variant>
      <vt:variant>
        <vt:lpwstr>https://repository.law.uic.edu/cgi/viewcontent.cgi?article=1758&amp;context=jitpl</vt:lpwstr>
      </vt:variant>
      <vt:variant>
        <vt:lpwstr/>
      </vt:variant>
      <vt:variant>
        <vt:i4>8323124</vt:i4>
      </vt:variant>
      <vt:variant>
        <vt:i4>21</vt:i4>
      </vt:variant>
      <vt:variant>
        <vt:i4>0</vt:i4>
      </vt:variant>
      <vt:variant>
        <vt:i4>5</vt:i4>
      </vt:variant>
      <vt:variant>
        <vt:lpwstr>https://law.moj.gov.tw/ENG/LawClass/LawAll.aspx?pcode=K0060001</vt:lpwstr>
      </vt:variant>
      <vt:variant>
        <vt:lpwstr/>
      </vt:variant>
      <vt:variant>
        <vt:i4>5177361</vt:i4>
      </vt:variant>
      <vt:variant>
        <vt:i4>18</vt:i4>
      </vt:variant>
      <vt:variant>
        <vt:i4>0</vt:i4>
      </vt:variant>
      <vt:variant>
        <vt:i4>5</vt:i4>
      </vt:variant>
      <vt:variant>
        <vt:lpwstr>https://freedomhouse.org/country/taiwan/freedom-net/2021</vt:lpwstr>
      </vt:variant>
      <vt:variant>
        <vt:lpwstr/>
      </vt:variant>
      <vt:variant>
        <vt:i4>2162785</vt:i4>
      </vt:variant>
      <vt:variant>
        <vt:i4>15</vt:i4>
      </vt:variant>
      <vt:variant>
        <vt:i4>0</vt:i4>
      </vt:variant>
      <vt:variant>
        <vt:i4>5</vt:i4>
      </vt:variant>
      <vt:variant>
        <vt:lpwstr>https://www.leeandli.com/EN/NewslettersDetail/6496.htm</vt:lpwstr>
      </vt:variant>
      <vt:variant>
        <vt:lpwstr/>
      </vt:variant>
      <vt:variant>
        <vt:i4>3276841</vt:i4>
      </vt:variant>
      <vt:variant>
        <vt:i4>12</vt:i4>
      </vt:variant>
      <vt:variant>
        <vt:i4>0</vt:i4>
      </vt:variant>
      <vt:variant>
        <vt:i4>5</vt:i4>
      </vt:variant>
      <vt:variant>
        <vt:lpwstr>https://www.dataguidance.com/notes/taiwan-data-protection-overview</vt:lpwstr>
      </vt:variant>
      <vt:variant>
        <vt:lpwstr/>
      </vt:variant>
      <vt:variant>
        <vt:i4>3276841</vt:i4>
      </vt:variant>
      <vt:variant>
        <vt:i4>9</vt:i4>
      </vt:variant>
      <vt:variant>
        <vt:i4>0</vt:i4>
      </vt:variant>
      <vt:variant>
        <vt:i4>5</vt:i4>
      </vt:variant>
      <vt:variant>
        <vt:lpwstr>https://www.dataguidance.com/notes/taiwan-data-protection-overview</vt:lpwstr>
      </vt:variant>
      <vt:variant>
        <vt:lpwstr/>
      </vt:variant>
      <vt:variant>
        <vt:i4>8126516</vt:i4>
      </vt:variant>
      <vt:variant>
        <vt:i4>6</vt:i4>
      </vt:variant>
      <vt:variant>
        <vt:i4>0</vt:i4>
      </vt:variant>
      <vt:variant>
        <vt:i4>5</vt:i4>
      </vt:variant>
      <vt:variant>
        <vt:lpwstr>https://law.moj.gov.tw/Eng/LawClass/LawAll.aspx?PCode=I0050021</vt:lpwstr>
      </vt:variant>
      <vt:variant>
        <vt:lpwstr/>
      </vt:variant>
      <vt:variant>
        <vt:i4>7929967</vt:i4>
      </vt:variant>
      <vt:variant>
        <vt:i4>3</vt:i4>
      </vt:variant>
      <vt:variant>
        <vt:i4>0</vt:i4>
      </vt:variant>
      <vt:variant>
        <vt:i4>5</vt:i4>
      </vt:variant>
      <vt:variant>
        <vt:lpwstr>https://www.dataguidance.com/notes/taiwan-third-country-assessment</vt:lpwstr>
      </vt:variant>
      <vt:variant>
        <vt:lpwstr/>
      </vt:variant>
      <vt:variant>
        <vt:i4>8126516</vt:i4>
      </vt:variant>
      <vt:variant>
        <vt:i4>0</vt:i4>
      </vt:variant>
      <vt:variant>
        <vt:i4>0</vt:i4>
      </vt:variant>
      <vt:variant>
        <vt:i4>5</vt:i4>
      </vt:variant>
      <vt:variant>
        <vt:lpwstr>https://law.moj.gov.tw/Eng/LawClass/LawAll.aspx?PCode=I0050021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Ola Høyer</dc:creator>
  <cp:keywords/>
  <dc:description/>
  <cp:lastModifiedBy>Marianne Fromreide</cp:lastModifiedBy>
  <cp:revision>2</cp:revision>
  <dcterms:created xsi:type="dcterms:W3CDTF">2024-09-05T11:33:00Z</dcterms:created>
  <dcterms:modified xsi:type="dcterms:W3CDTF">2024-09-05T11:33:00Z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0x01010004BCF37571DE1B4BA2BFAC0158A3BEC7</vt:lpwstr>
  </property>
  <property fmtid="{D5CDD505-2E9C-101B-9397-08002B2CF9AE}" pid="3" name="WorkSiteClientNumber">
    <vt:lpwstr>37249</vt:lpwstr>
  </property>
  <property fmtid="{D5CDD505-2E9C-101B-9397-08002B2CF9AE}" pid="4" name="WorkSiteDatabase">
    <vt:lpwstr>LEGAL</vt:lpwstr>
  </property>
  <property fmtid="{D5CDD505-2E9C-101B-9397-08002B2CF9AE}" pid="5" name="WorkSiteDescription">
    <vt:lpwstr>240604 Siste utkast rapport Taiwan (Uten kommentarer) 1_innspill Kvale</vt:lpwstr>
  </property>
  <property fmtid="{D5CDD505-2E9C-101B-9397-08002B2CF9AE}" pid="6" name="WorkSiteDocNumber">
    <vt:lpwstr>3708666</vt:lpwstr>
  </property>
  <property fmtid="{D5CDD505-2E9C-101B-9397-08002B2CF9AE}" pid="7" name="WorksiteDocVersion">
    <vt:lpwstr>1</vt:lpwstr>
  </property>
  <property fmtid="{D5CDD505-2E9C-101B-9397-08002B2CF9AE}" pid="8" name="WorkSiteAuthor">
    <vt:lpwstr>JCG</vt:lpwstr>
  </property>
  <property fmtid="{D5CDD505-2E9C-101B-9397-08002B2CF9AE}" pid="9" name="WorkSiteMatterNumber">
    <vt:lpwstr>37249-512</vt:lpwstr>
  </property>
  <property fmtid="{D5CDD505-2E9C-101B-9397-08002B2CF9AE}" pid="10" name="MediaServiceImageTags">
    <vt:lpwstr/>
  </property>
</Properties>
</file>