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endnotes.xml" ContentType="application/vnd.openxmlformats-officedocument.wordprocessingml.endnotes+xml"/>
  <Override PartName="/word/footer4.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3.xml" ContentType="application/vnd.openxmlformats-officedocument.drawingml.chart+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4.xml" ContentType="application/vnd.openxmlformats-officedocument.customXmlProperties+xml"/>
  <Override PartName="/customXml/itemProps3.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b/>
          <w:lang w:val="en-GB"/>
        </w:rPr>
        <w:id w:val="834723748"/>
        <w:docPartObj>
          <w:docPartGallery w:val="Cover Pages"/>
          <w:docPartUnique/>
        </w:docPartObj>
      </w:sdtPr>
      <w:sdtEndPr>
        <w:rPr>
          <w:b w:val="0"/>
        </w:rPr>
      </w:sdtEndPr>
      <w:sdtContent>
        <w:p w14:paraId="24C40BB1" w14:textId="0F088F40" w:rsidR="00F4449A" w:rsidRPr="007701FE" w:rsidRDefault="000A0164" w:rsidP="000A0164">
          <w:pPr>
            <w:tabs>
              <w:tab w:val="left" w:pos="814"/>
            </w:tabs>
            <w:rPr>
              <w:lang w:val="en-GB"/>
            </w:rPr>
          </w:pPr>
          <w:r w:rsidRPr="007701FE">
            <w:rPr>
              <w:b/>
              <w:lang w:val="en-GB"/>
            </w:rPr>
            <w:tab/>
          </w:r>
        </w:p>
        <w:p w14:paraId="100141C5" w14:textId="1A3C8E40" w:rsidR="00FD6229" w:rsidRPr="007701FE" w:rsidRDefault="0008426E" w:rsidP="00AE1CFA">
          <w:pPr>
            <w:rPr>
              <w:lang w:val="en-GB"/>
            </w:rPr>
          </w:pPr>
          <w:r w:rsidRPr="007701FE">
            <w:rPr>
              <w:noProof/>
              <w:lang w:val="en-GB" w:eastAsia="nb-NO"/>
            </w:rPr>
            <w:drawing>
              <wp:anchor distT="0" distB="0" distL="114300" distR="114300" simplePos="0" relativeHeight="251658249" behindDoc="0" locked="0" layoutInCell="1" allowOverlap="1" wp14:anchorId="00AF4E51" wp14:editId="6D950650">
                <wp:simplePos x="0" y="0"/>
                <wp:positionH relativeFrom="column">
                  <wp:posOffset>-618601</wp:posOffset>
                </wp:positionH>
                <wp:positionV relativeFrom="page">
                  <wp:posOffset>4905375</wp:posOffset>
                </wp:positionV>
                <wp:extent cx="6972935" cy="4648200"/>
                <wp:effectExtent l="0" t="0" r="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NON-dummybild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972935" cy="4648200"/>
                        </a:xfrm>
                        <a:prstGeom prst="rect">
                          <a:avLst/>
                        </a:prstGeom>
                      </pic:spPr>
                    </pic:pic>
                  </a:graphicData>
                </a:graphic>
                <wp14:sizeRelH relativeFrom="margin">
                  <wp14:pctWidth>0</wp14:pctWidth>
                </wp14:sizeRelH>
                <wp14:sizeRelV relativeFrom="margin">
                  <wp14:pctHeight>0</wp14:pctHeight>
                </wp14:sizeRelV>
              </wp:anchor>
            </w:drawing>
          </w:r>
          <w:r w:rsidR="005062CB" w:rsidRPr="007701FE">
            <w:rPr>
              <w:noProof/>
              <w:lang w:val="en-GB" w:eastAsia="nb-NO"/>
            </w:rPr>
            <mc:AlternateContent>
              <mc:Choice Requires="wps">
                <w:drawing>
                  <wp:anchor distT="0" distB="0" distL="114300" distR="114300" simplePos="0" relativeHeight="251658241" behindDoc="0" locked="0" layoutInCell="1" allowOverlap="1" wp14:anchorId="74BFA436" wp14:editId="0F91D0E1">
                    <wp:simplePos x="0" y="0"/>
                    <wp:positionH relativeFrom="column">
                      <wp:posOffset>-443230</wp:posOffset>
                    </wp:positionH>
                    <wp:positionV relativeFrom="page">
                      <wp:posOffset>3793490</wp:posOffset>
                    </wp:positionV>
                    <wp:extent cx="6924040" cy="1031240"/>
                    <wp:effectExtent l="0" t="0" r="10160" b="10160"/>
                    <wp:wrapNone/>
                    <wp:docPr id="4" name="Tekstboks 4"/>
                    <wp:cNvGraphicFramePr/>
                    <a:graphic xmlns:a="http://schemas.openxmlformats.org/drawingml/2006/main">
                      <a:graphicData uri="http://schemas.microsoft.com/office/word/2010/wordprocessingShape">
                        <wps:wsp>
                          <wps:cNvSpPr txBox="1"/>
                          <wps:spPr>
                            <a:xfrm>
                              <a:off x="0" y="0"/>
                              <a:ext cx="6924040" cy="10312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B4A7943" w14:textId="57D05657" w:rsidR="008176AA" w:rsidRPr="004B73D7" w:rsidRDefault="003A1956" w:rsidP="00622D75">
                                <w:pPr>
                                  <w:pStyle w:val="M-Cover1"/>
                                  <w:spacing w:after="0"/>
                                  <w:rPr>
                                    <w:rStyle w:val="SubtleEmphasis"/>
                                    <w:b w:val="0"/>
                                    <w:iCs w:val="0"/>
                                    <w:smallCaps w:val="0"/>
                                  </w:rPr>
                                </w:pPr>
                                <w:proofErr w:type="spellStart"/>
                                <w:r>
                                  <w:rPr>
                                    <w:rStyle w:val="SubtleEmphasis"/>
                                    <w:b w:val="0"/>
                                  </w:rPr>
                                  <w:t>Summary</w:t>
                                </w:r>
                                <w:proofErr w:type="spellEnd"/>
                              </w:p>
                              <w:p w14:paraId="6D20B0CC" w14:textId="6A2B34A1" w:rsidR="008176AA" w:rsidRPr="005062CB" w:rsidRDefault="005B1C1A" w:rsidP="005B1C1A">
                                <w:pPr>
                                  <w:pStyle w:val="M-Cover3"/>
                                  <w:rPr>
                                    <w:sz w:val="22"/>
                                  </w:rPr>
                                </w:pPr>
                                <w:bookmarkStart w:id="0" w:name="_GoBack"/>
                                <w:r w:rsidRPr="005B1C1A">
                                  <w:rPr>
                                    <w:iCs/>
                                    <w:caps/>
                                    <w:color w:val="646464"/>
                                    <w:sz w:val="48"/>
                                  </w:rPr>
                                  <w:t>COST OF TRANSITION</w:t>
                                </w:r>
                                <w:r>
                                  <w:rPr>
                                    <w:iCs/>
                                    <w:caps/>
                                    <w:color w:val="646464"/>
                                    <w:sz w:val="48"/>
                                  </w:rPr>
                                  <w:t>ing</w:t>
                                </w:r>
                                <w:r w:rsidRPr="005B1C1A">
                                  <w:rPr>
                                    <w:iCs/>
                                    <w:caps/>
                                    <w:color w:val="646464"/>
                                    <w:sz w:val="48"/>
                                  </w:rPr>
                                  <w:t xml:space="preserve"> TO FOSSIL</w:t>
                                </w:r>
                                <w:r>
                                  <w:rPr>
                                    <w:iCs/>
                                    <w:caps/>
                                    <w:color w:val="646464"/>
                                    <w:sz w:val="48"/>
                                  </w:rPr>
                                  <w:t>-</w:t>
                                </w:r>
                                <w:r w:rsidRPr="005B1C1A">
                                  <w:rPr>
                                    <w:iCs/>
                                    <w:caps/>
                                    <w:color w:val="646464"/>
                                    <w:sz w:val="48"/>
                                  </w:rPr>
                                  <w:t xml:space="preserve">FREE </w:t>
                                </w:r>
                                <w:r>
                                  <w:rPr>
                                    <w:iCs/>
                                    <w:caps/>
                                    <w:color w:val="646464"/>
                                    <w:sz w:val="48"/>
                                  </w:rPr>
                                  <w:t>public</w:t>
                                </w:r>
                                <w:r w:rsidRPr="005B1C1A">
                                  <w:rPr>
                                    <w:iCs/>
                                    <w:caps/>
                                    <w:color w:val="646464"/>
                                    <w:sz w:val="48"/>
                                  </w:rPr>
                                  <w:t xml:space="preserve"> TRANSPORT</w:t>
                                </w:r>
                                <w:bookmarkEnd w:id="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BFA436" id="_x0000_t202" coordsize="21600,21600" o:spt="202" path="m,l,21600r21600,l21600,xe">
                    <v:stroke joinstyle="miter"/>
                    <v:path gradientshapeok="t" o:connecttype="rect"/>
                  </v:shapetype>
                  <v:shape id="Tekstboks 4" o:spid="_x0000_s1026" type="#_x0000_t202" style="position:absolute;left:0;text-align:left;margin-left:-34.9pt;margin-top:298.7pt;width:545.2pt;height:81.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" filled="f" stroked="f">
                    <v:textbox inset="0,0,0,0">
                      <w:txbxContent>
                        <w:p w14:paraId="7B4A7943" w14:textId="57D05657" w:rsidR="008176AA" w:rsidRPr="004B73D7" w:rsidRDefault="003A1956" w:rsidP="00622D75">
                          <w:pPr>
                            <w:pStyle w:val="M-Cover1"/>
                            <w:spacing w:after="0"/>
                            <w:rPr>
                              <w:rStyle w:val="SubtleEmphasis"/>
                              <w:b w:val="0"/>
                              <w:iCs w:val="0"/>
                              <w:smallCaps w:val="0"/>
                            </w:rPr>
                          </w:pPr>
                          <w:proofErr w:type="spellStart"/>
                          <w:r>
                            <w:rPr>
                              <w:rStyle w:val="SubtleEmphasis"/>
                              <w:b w:val="0"/>
                            </w:rPr>
                            <w:t>Summary</w:t>
                          </w:r>
                          <w:proofErr w:type="spellEnd"/>
                        </w:p>
                        <w:p w14:paraId="6D20B0CC" w14:textId="6A2B34A1" w:rsidR="008176AA" w:rsidRPr="005062CB" w:rsidRDefault="005B1C1A" w:rsidP="005B1C1A">
                          <w:pPr>
                            <w:pStyle w:val="M-Cover3"/>
                            <w:rPr>
                              <w:sz w:val="22"/>
                            </w:rPr>
                          </w:pPr>
                          <w:bookmarkStart w:id="1" w:name="_GoBack"/>
                          <w:r w:rsidRPr="005B1C1A">
                            <w:rPr>
                              <w:iCs/>
                              <w:caps/>
                              <w:color w:val="646464"/>
                              <w:sz w:val="48"/>
                            </w:rPr>
                            <w:t>COST OF TRANSITION</w:t>
                          </w:r>
                          <w:r>
                            <w:rPr>
                              <w:iCs/>
                              <w:caps/>
                              <w:color w:val="646464"/>
                              <w:sz w:val="48"/>
                            </w:rPr>
                            <w:t>ing</w:t>
                          </w:r>
                          <w:r w:rsidRPr="005B1C1A">
                            <w:rPr>
                              <w:iCs/>
                              <w:caps/>
                              <w:color w:val="646464"/>
                              <w:sz w:val="48"/>
                            </w:rPr>
                            <w:t xml:space="preserve"> TO FOSSIL</w:t>
                          </w:r>
                          <w:r>
                            <w:rPr>
                              <w:iCs/>
                              <w:caps/>
                              <w:color w:val="646464"/>
                              <w:sz w:val="48"/>
                            </w:rPr>
                            <w:t>-</w:t>
                          </w:r>
                          <w:r w:rsidRPr="005B1C1A">
                            <w:rPr>
                              <w:iCs/>
                              <w:caps/>
                              <w:color w:val="646464"/>
                              <w:sz w:val="48"/>
                            </w:rPr>
                            <w:t xml:space="preserve">FREE </w:t>
                          </w:r>
                          <w:r>
                            <w:rPr>
                              <w:iCs/>
                              <w:caps/>
                              <w:color w:val="646464"/>
                              <w:sz w:val="48"/>
                            </w:rPr>
                            <w:t>public</w:t>
                          </w:r>
                          <w:r w:rsidRPr="005B1C1A">
                            <w:rPr>
                              <w:iCs/>
                              <w:caps/>
                              <w:color w:val="646464"/>
                              <w:sz w:val="48"/>
                            </w:rPr>
                            <w:t xml:space="preserve"> TRANSPORT</w:t>
                          </w:r>
                          <w:bookmarkEnd w:id="1"/>
                        </w:p>
                      </w:txbxContent>
                    </v:textbox>
                    <w10:wrap anchory="page"/>
                  </v:shape>
                </w:pict>
              </mc:Fallback>
            </mc:AlternateContent>
          </w:r>
          <w:r w:rsidR="004E5781" w:rsidRPr="007701FE">
            <w:rPr>
              <w:noProof/>
              <w:lang w:val="en-GB" w:eastAsia="nb-NO"/>
            </w:rPr>
            <mc:AlternateContent>
              <mc:Choice Requires="wps">
                <w:drawing>
                  <wp:anchor distT="0" distB="0" distL="114300" distR="114300" simplePos="0" relativeHeight="251658242" behindDoc="0" locked="0" layoutInCell="1" allowOverlap="1" wp14:anchorId="0BA388BF" wp14:editId="2F266E1F">
                    <wp:simplePos x="0" y="0"/>
                    <wp:positionH relativeFrom="column">
                      <wp:posOffset>-481330</wp:posOffset>
                    </wp:positionH>
                    <wp:positionV relativeFrom="page">
                      <wp:posOffset>9734550</wp:posOffset>
                    </wp:positionV>
                    <wp:extent cx="5377815" cy="565150"/>
                    <wp:effectExtent l="0" t="0" r="6985" b="19050"/>
                    <wp:wrapNone/>
                    <wp:docPr id="9" name="Tekstboks 9"/>
                    <wp:cNvGraphicFramePr/>
                    <a:graphic xmlns:a="http://schemas.openxmlformats.org/drawingml/2006/main">
                      <a:graphicData uri="http://schemas.microsoft.com/office/word/2010/wordprocessingShape">
                        <wps:wsp>
                          <wps:cNvSpPr txBox="1"/>
                          <wps:spPr>
                            <a:xfrm>
                              <a:off x="0" y="0"/>
                              <a:ext cx="5377815" cy="5651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93CE926" w14:textId="26B97DD1" w:rsidR="008176AA" w:rsidRPr="00CB259C" w:rsidRDefault="008176AA" w:rsidP="004E5781">
                                <w:pPr>
                                  <w:pStyle w:val="M-Cover1"/>
                                  <w:rPr>
                                    <w:rStyle w:val="SubtleEmphasis"/>
                                    <w:rFonts w:asciiTheme="minorHAnsi" w:hAnsiTheme="minorHAnsi"/>
                                    <w:iCs w:val="0"/>
                                    <w:caps/>
                                    <w:smallCaps w:val="0"/>
                                    <w:color w:val="FFFFFF" w:themeColor="background1"/>
                                    <w:lang w:val="nn-NO"/>
                                  </w:rPr>
                                </w:pPr>
                              </w:p>
                              <w:p w14:paraId="50C91B37" w14:textId="4D2341E9" w:rsidR="008176AA" w:rsidRPr="00CB259C" w:rsidRDefault="008176AA" w:rsidP="005062CB">
                                <w:pPr>
                                  <w:pStyle w:val="M-Cover2"/>
                                  <w:spacing w:line="260" w:lineRule="exact"/>
                                  <w:rPr>
                                    <w:color w:val="FFFFFF" w:themeColor="background1"/>
                                    <w:sz w:val="20"/>
                                    <w:lang w:val="nn-NO"/>
                                  </w:rPr>
                                </w:pPr>
                                <w:r>
                                  <w:rPr>
                                    <w:rStyle w:val="Emphasis"/>
                                    <w:color w:val="FFFFFF" w:themeColor="background1"/>
                                    <w:sz w:val="20"/>
                                    <w:lang w:val="nn-NO"/>
                                  </w:rPr>
                                  <w:t xml:space="preserve">Øyvind N. Handberg, Rolf Hagman, Annegrete Bruvoll, </w:t>
                                </w:r>
                                <w:r w:rsidRPr="00034C37">
                                  <w:rPr>
                                    <w:rStyle w:val="Emphasis"/>
                                    <w:color w:val="FFFFFF" w:themeColor="background1"/>
                                    <w:sz w:val="20"/>
                                    <w:lang w:val="nn-NO"/>
                                  </w:rPr>
                                  <w:t>Tale Ørving</w:t>
                                </w:r>
                                <w:r>
                                  <w:rPr>
                                    <w:rStyle w:val="Emphasis"/>
                                    <w:color w:val="FFFFFF" w:themeColor="background1"/>
                                    <w:sz w:val="20"/>
                                    <w:lang w:val="nn-NO"/>
                                  </w:rPr>
                                  <w:t xml:space="preserve">, Siri Voll Dombu </w:t>
                                </w:r>
                                <w:r w:rsidR="00497384">
                                  <w:rPr>
                                    <w:rStyle w:val="Emphasis"/>
                                    <w:color w:val="FFFFFF" w:themeColor="background1"/>
                                    <w:sz w:val="20"/>
                                    <w:lang w:val="nn-NO"/>
                                  </w:rPr>
                                  <w:t>and</w:t>
                                </w:r>
                                <w:r>
                                  <w:rPr>
                                    <w:rStyle w:val="Emphasis"/>
                                    <w:color w:val="FFFFFF" w:themeColor="background1"/>
                                    <w:sz w:val="20"/>
                                    <w:lang w:val="nn-NO"/>
                                  </w:rPr>
                                  <w:t xml:space="preserve"> Heidi Ulstein</w:t>
                                </w:r>
                              </w:p>
                              <w:p w14:paraId="4E25F79A" w14:textId="4798A1EB" w:rsidR="008176AA" w:rsidRPr="00CB259C" w:rsidRDefault="008176AA" w:rsidP="004E5781">
                                <w:pPr>
                                  <w:pStyle w:val="M-Cover2"/>
                                  <w:spacing w:line="260" w:lineRule="exact"/>
                                  <w:rPr>
                                    <w:color w:val="FFFFFF" w:themeColor="background1"/>
                                    <w:sz w:val="20"/>
                                    <w:lang w:val="nn-NO"/>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388BF" id="Tekstboks 9" o:spid="_x0000_s1027" type="#_x0000_t202" style="position:absolute;left:0;text-align:left;margin-left:-37.9pt;margin-top:766.5pt;width:423.45pt;height:4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" filled="f" stroked="f">
                    <v:textbox inset="0,0,0,0">
                      <w:txbxContent>
                        <w:p w14:paraId="193CE926" w14:textId="26B97DD1" w:rsidR="008176AA" w:rsidRPr="00CB259C" w:rsidRDefault="008176AA" w:rsidP="004E5781">
                          <w:pPr>
                            <w:pStyle w:val="M-Cover1"/>
                            <w:rPr>
                              <w:rStyle w:val="SubtleEmphasis"/>
                              <w:rFonts w:asciiTheme="minorHAnsi" w:hAnsiTheme="minorHAnsi"/>
                              <w:iCs w:val="0"/>
                              <w:caps/>
                              <w:smallCaps w:val="0"/>
                              <w:color w:val="FFFFFF" w:themeColor="background1"/>
                              <w:lang w:val="nn-NO"/>
                            </w:rPr>
                          </w:pPr>
                        </w:p>
                        <w:p w14:paraId="50C91B37" w14:textId="4D2341E9" w:rsidR="008176AA" w:rsidRPr="00CB259C" w:rsidRDefault="008176AA" w:rsidP="005062CB">
                          <w:pPr>
                            <w:pStyle w:val="M-Cover2"/>
                            <w:spacing w:line="260" w:lineRule="exact"/>
                            <w:rPr>
                              <w:color w:val="FFFFFF" w:themeColor="background1"/>
                              <w:sz w:val="20"/>
                              <w:lang w:val="nn-NO"/>
                            </w:rPr>
                          </w:pPr>
                          <w:r>
                            <w:rPr>
                              <w:rStyle w:val="Emphasis"/>
                              <w:color w:val="FFFFFF" w:themeColor="background1"/>
                              <w:sz w:val="20"/>
                              <w:lang w:val="nn-NO"/>
                            </w:rPr>
                            <w:t xml:space="preserve">Øyvind N. Handberg, Rolf Hagman, Annegrete Bruvoll, </w:t>
                          </w:r>
                          <w:r w:rsidRPr="00034C37">
                            <w:rPr>
                              <w:rStyle w:val="Emphasis"/>
                              <w:color w:val="FFFFFF" w:themeColor="background1"/>
                              <w:sz w:val="20"/>
                              <w:lang w:val="nn-NO"/>
                            </w:rPr>
                            <w:t>Tale Ørving</w:t>
                          </w:r>
                          <w:r>
                            <w:rPr>
                              <w:rStyle w:val="Emphasis"/>
                              <w:color w:val="FFFFFF" w:themeColor="background1"/>
                              <w:sz w:val="20"/>
                              <w:lang w:val="nn-NO"/>
                            </w:rPr>
                            <w:t xml:space="preserve">, Siri Voll Dombu </w:t>
                          </w:r>
                          <w:r w:rsidR="00497384">
                            <w:rPr>
                              <w:rStyle w:val="Emphasis"/>
                              <w:color w:val="FFFFFF" w:themeColor="background1"/>
                              <w:sz w:val="20"/>
                              <w:lang w:val="nn-NO"/>
                            </w:rPr>
                            <w:t>and</w:t>
                          </w:r>
                          <w:r>
                            <w:rPr>
                              <w:rStyle w:val="Emphasis"/>
                              <w:color w:val="FFFFFF" w:themeColor="background1"/>
                              <w:sz w:val="20"/>
                              <w:lang w:val="nn-NO"/>
                            </w:rPr>
                            <w:t xml:space="preserve"> Heidi Ulstein</w:t>
                          </w:r>
                        </w:p>
                        <w:p w14:paraId="4E25F79A" w14:textId="4798A1EB" w:rsidR="008176AA" w:rsidRPr="00CB259C" w:rsidRDefault="008176AA" w:rsidP="004E5781">
                          <w:pPr>
                            <w:pStyle w:val="M-Cover2"/>
                            <w:spacing w:line="260" w:lineRule="exact"/>
                            <w:rPr>
                              <w:color w:val="FFFFFF" w:themeColor="background1"/>
                              <w:sz w:val="20"/>
                              <w:lang w:val="nn-NO"/>
                            </w:rPr>
                          </w:pPr>
                        </w:p>
                      </w:txbxContent>
                    </v:textbox>
                    <w10:wrap anchory="page"/>
                  </v:shape>
                </w:pict>
              </mc:Fallback>
            </mc:AlternateContent>
          </w:r>
        </w:p>
      </w:sdtContent>
    </w:sdt>
    <w:p w14:paraId="464A3324" w14:textId="77777777" w:rsidR="004744E1" w:rsidRPr="007701FE" w:rsidRDefault="004744E1">
      <w:pPr>
        <w:spacing w:line="276" w:lineRule="auto"/>
        <w:jc w:val="left"/>
        <w:rPr>
          <w:lang w:val="en-GB"/>
        </w:rPr>
        <w:sectPr w:rsidR="004744E1" w:rsidRPr="007701FE" w:rsidSect="00E73DCD">
          <w:footerReference w:type="default" r:id="rId12"/>
          <w:headerReference w:type="first" r:id="rId13"/>
          <w:footerReference w:type="first" r:id="rId14"/>
          <w:pgSz w:w="11906" w:h="16838"/>
          <w:pgMar w:top="1418" w:right="1418" w:bottom="1418" w:left="1418" w:header="709" w:footer="284" w:gutter="0"/>
          <w:pgNumType w:start="0"/>
          <w:cols w:space="708"/>
          <w:titlePg/>
          <w:docGrid w:linePitch="360"/>
        </w:sectPr>
      </w:pPr>
    </w:p>
    <w:p w14:paraId="28013082" w14:textId="77777777" w:rsidR="00FD10F8" w:rsidRPr="007701FE" w:rsidRDefault="00FD10F8">
      <w:pPr>
        <w:spacing w:line="276" w:lineRule="auto"/>
        <w:jc w:val="left"/>
        <w:rPr>
          <w:i/>
          <w:lang w:val="en-GB"/>
        </w:rPr>
      </w:pPr>
    </w:p>
    <w:p w14:paraId="57220484" w14:textId="77777777" w:rsidR="00FD10F8" w:rsidRPr="007701FE" w:rsidRDefault="00FD10F8">
      <w:pPr>
        <w:spacing w:line="276" w:lineRule="auto"/>
        <w:jc w:val="left"/>
        <w:rPr>
          <w:i/>
          <w:lang w:val="en-GB"/>
        </w:rPr>
      </w:pPr>
    </w:p>
    <w:p w14:paraId="53D958C9" w14:textId="77777777" w:rsidR="00FD10F8" w:rsidRPr="007701FE" w:rsidRDefault="00FD10F8">
      <w:pPr>
        <w:spacing w:line="276" w:lineRule="auto"/>
        <w:jc w:val="left"/>
        <w:rPr>
          <w:i/>
          <w:lang w:val="en-GB"/>
        </w:rPr>
      </w:pPr>
    </w:p>
    <w:p w14:paraId="4CA86B92" w14:textId="77777777" w:rsidR="00FD10F8" w:rsidRPr="007701FE" w:rsidRDefault="00FD10F8">
      <w:pPr>
        <w:spacing w:line="276" w:lineRule="auto"/>
        <w:jc w:val="left"/>
        <w:rPr>
          <w:i/>
          <w:lang w:val="en-GB"/>
        </w:rPr>
      </w:pPr>
    </w:p>
    <w:p w14:paraId="7A2D43B6" w14:textId="77777777" w:rsidR="00FD10F8" w:rsidRPr="007701FE" w:rsidRDefault="00FD10F8">
      <w:pPr>
        <w:spacing w:line="276" w:lineRule="auto"/>
        <w:jc w:val="left"/>
        <w:rPr>
          <w:i/>
          <w:lang w:val="en-GB"/>
        </w:rPr>
      </w:pPr>
    </w:p>
    <w:p w14:paraId="44A40CA0" w14:textId="77777777" w:rsidR="00FD10F8" w:rsidRPr="007701FE" w:rsidRDefault="00FD10F8">
      <w:pPr>
        <w:spacing w:line="276" w:lineRule="auto"/>
        <w:jc w:val="left"/>
        <w:rPr>
          <w:i/>
          <w:lang w:val="en-GB"/>
        </w:rPr>
      </w:pPr>
    </w:p>
    <w:p w14:paraId="6742A93C" w14:textId="77777777" w:rsidR="00FD10F8" w:rsidRPr="007701FE" w:rsidRDefault="00FD10F8">
      <w:pPr>
        <w:spacing w:line="276" w:lineRule="auto"/>
        <w:jc w:val="left"/>
        <w:rPr>
          <w:i/>
          <w:lang w:val="en-GB"/>
        </w:rPr>
      </w:pPr>
    </w:p>
    <w:p w14:paraId="11ACA44B" w14:textId="77777777" w:rsidR="00FD10F8" w:rsidRPr="007701FE" w:rsidRDefault="00FD10F8">
      <w:pPr>
        <w:spacing w:line="276" w:lineRule="auto"/>
        <w:jc w:val="left"/>
        <w:rPr>
          <w:i/>
          <w:lang w:val="en-GB"/>
        </w:rPr>
      </w:pPr>
    </w:p>
    <w:p w14:paraId="3509BD20" w14:textId="77777777" w:rsidR="00FD10F8" w:rsidRPr="007701FE" w:rsidRDefault="00FD10F8">
      <w:pPr>
        <w:spacing w:line="276" w:lineRule="auto"/>
        <w:jc w:val="left"/>
        <w:rPr>
          <w:i/>
          <w:lang w:val="en-GB"/>
        </w:rPr>
      </w:pPr>
    </w:p>
    <w:p w14:paraId="66EC2022" w14:textId="77777777" w:rsidR="00FD10F8" w:rsidRPr="007701FE" w:rsidRDefault="00FD10F8">
      <w:pPr>
        <w:spacing w:line="276" w:lineRule="auto"/>
        <w:jc w:val="left"/>
        <w:rPr>
          <w:i/>
          <w:lang w:val="en-GB"/>
        </w:rPr>
      </w:pPr>
    </w:p>
    <w:p w14:paraId="2169E6DB" w14:textId="77777777" w:rsidR="00FD10F8" w:rsidRPr="007701FE" w:rsidRDefault="00FD10F8">
      <w:pPr>
        <w:spacing w:line="276" w:lineRule="auto"/>
        <w:jc w:val="left"/>
        <w:rPr>
          <w:i/>
          <w:lang w:val="en-GB"/>
        </w:rPr>
      </w:pPr>
    </w:p>
    <w:p w14:paraId="469E7483" w14:textId="77777777" w:rsidR="00FD10F8" w:rsidRPr="007701FE" w:rsidRDefault="00FD10F8">
      <w:pPr>
        <w:spacing w:line="276" w:lineRule="auto"/>
        <w:jc w:val="left"/>
        <w:rPr>
          <w:i/>
          <w:lang w:val="en-GB"/>
        </w:rPr>
      </w:pPr>
    </w:p>
    <w:p w14:paraId="420552F6" w14:textId="77777777" w:rsidR="00FD10F8" w:rsidRPr="007701FE" w:rsidRDefault="00FD10F8">
      <w:pPr>
        <w:spacing w:line="276" w:lineRule="auto"/>
        <w:jc w:val="left"/>
        <w:rPr>
          <w:i/>
          <w:lang w:val="en-GB"/>
        </w:rPr>
      </w:pPr>
    </w:p>
    <w:p w14:paraId="4E92A519" w14:textId="77777777" w:rsidR="00FD10F8" w:rsidRPr="007701FE" w:rsidRDefault="00FD10F8">
      <w:pPr>
        <w:spacing w:line="276" w:lineRule="auto"/>
        <w:jc w:val="left"/>
        <w:rPr>
          <w:i/>
          <w:lang w:val="en-GB"/>
        </w:rPr>
      </w:pPr>
    </w:p>
    <w:p w14:paraId="785FA186" w14:textId="77777777" w:rsidR="00FD10F8" w:rsidRPr="007701FE" w:rsidRDefault="00FD10F8">
      <w:pPr>
        <w:spacing w:line="276" w:lineRule="auto"/>
        <w:jc w:val="left"/>
        <w:rPr>
          <w:i/>
          <w:lang w:val="en-GB"/>
        </w:rPr>
      </w:pPr>
    </w:p>
    <w:p w14:paraId="171E0AE4" w14:textId="77777777" w:rsidR="00FD10F8" w:rsidRPr="007701FE" w:rsidRDefault="00FD10F8">
      <w:pPr>
        <w:spacing w:line="276" w:lineRule="auto"/>
        <w:jc w:val="left"/>
        <w:rPr>
          <w:i/>
          <w:lang w:val="en-GB"/>
        </w:rPr>
      </w:pPr>
    </w:p>
    <w:p w14:paraId="3C6986B8" w14:textId="77777777" w:rsidR="00FD10F8" w:rsidRPr="007701FE" w:rsidRDefault="00FD10F8">
      <w:pPr>
        <w:spacing w:line="276" w:lineRule="auto"/>
        <w:jc w:val="left"/>
        <w:rPr>
          <w:i/>
          <w:lang w:val="en-GB"/>
        </w:rPr>
      </w:pPr>
    </w:p>
    <w:p w14:paraId="4B83A7C7" w14:textId="77777777" w:rsidR="00FD10F8" w:rsidRPr="007701FE" w:rsidRDefault="00FD10F8">
      <w:pPr>
        <w:spacing w:line="276" w:lineRule="auto"/>
        <w:jc w:val="left"/>
        <w:rPr>
          <w:i/>
          <w:lang w:val="en-GB"/>
        </w:rPr>
      </w:pPr>
    </w:p>
    <w:p w14:paraId="65A97AAD" w14:textId="77777777" w:rsidR="00FD10F8" w:rsidRPr="007701FE" w:rsidRDefault="00FD10F8">
      <w:pPr>
        <w:spacing w:line="276" w:lineRule="auto"/>
        <w:jc w:val="left"/>
        <w:rPr>
          <w:i/>
          <w:lang w:val="en-GB"/>
        </w:rPr>
      </w:pPr>
    </w:p>
    <w:p w14:paraId="33088F7D" w14:textId="77777777" w:rsidR="00FD10F8" w:rsidRPr="007701FE" w:rsidRDefault="00FD10F8">
      <w:pPr>
        <w:spacing w:line="276" w:lineRule="auto"/>
        <w:jc w:val="left"/>
        <w:rPr>
          <w:i/>
          <w:lang w:val="en-GB"/>
        </w:rPr>
      </w:pPr>
    </w:p>
    <w:p w14:paraId="35E27FFF" w14:textId="77777777" w:rsidR="00FD10F8" w:rsidRPr="007701FE" w:rsidRDefault="00FD10F8">
      <w:pPr>
        <w:spacing w:line="276" w:lineRule="auto"/>
        <w:jc w:val="left"/>
        <w:rPr>
          <w:i/>
          <w:lang w:val="en-GB"/>
        </w:rPr>
      </w:pPr>
    </w:p>
    <w:p w14:paraId="5928DB0B" w14:textId="77777777" w:rsidR="00FD10F8" w:rsidRPr="007701FE" w:rsidRDefault="00FD10F8">
      <w:pPr>
        <w:spacing w:line="276" w:lineRule="auto"/>
        <w:jc w:val="left"/>
        <w:rPr>
          <w:i/>
          <w:lang w:val="en-GB"/>
        </w:rPr>
      </w:pPr>
    </w:p>
    <w:p w14:paraId="2652F650" w14:textId="77777777" w:rsidR="00FD10F8" w:rsidRPr="007701FE" w:rsidRDefault="00FD10F8">
      <w:pPr>
        <w:spacing w:line="276" w:lineRule="auto"/>
        <w:jc w:val="left"/>
        <w:rPr>
          <w:i/>
          <w:lang w:val="en-GB"/>
        </w:rPr>
      </w:pPr>
    </w:p>
    <w:p w14:paraId="00563AA7" w14:textId="77777777" w:rsidR="00FD10F8" w:rsidRPr="007701FE" w:rsidRDefault="00FD10F8">
      <w:pPr>
        <w:spacing w:line="276" w:lineRule="auto"/>
        <w:jc w:val="left"/>
        <w:rPr>
          <w:i/>
          <w:lang w:val="en-GB"/>
        </w:rPr>
      </w:pPr>
    </w:p>
    <w:p w14:paraId="40A11EE1" w14:textId="77777777" w:rsidR="00FD10F8" w:rsidRPr="007701FE" w:rsidRDefault="00FD10F8">
      <w:pPr>
        <w:spacing w:line="276" w:lineRule="auto"/>
        <w:jc w:val="left"/>
        <w:rPr>
          <w:i/>
          <w:lang w:val="en-GB"/>
        </w:rPr>
      </w:pPr>
    </w:p>
    <w:p w14:paraId="76AD3045" w14:textId="77777777" w:rsidR="00FD10F8" w:rsidRPr="007701FE" w:rsidRDefault="00FD10F8">
      <w:pPr>
        <w:spacing w:line="276" w:lineRule="auto"/>
        <w:jc w:val="left"/>
        <w:rPr>
          <w:i/>
          <w:lang w:val="en-GB"/>
        </w:rPr>
      </w:pPr>
    </w:p>
    <w:p w14:paraId="4282123C" w14:textId="77777777" w:rsidR="00FD10F8" w:rsidRPr="007701FE" w:rsidRDefault="00FD10F8">
      <w:pPr>
        <w:spacing w:line="276" w:lineRule="auto"/>
        <w:jc w:val="left"/>
        <w:rPr>
          <w:i/>
          <w:lang w:val="en-GB"/>
        </w:rPr>
      </w:pPr>
    </w:p>
    <w:p w14:paraId="5F84E392" w14:textId="77777777" w:rsidR="00FD10F8" w:rsidRPr="007701FE" w:rsidRDefault="00FD10F8">
      <w:pPr>
        <w:spacing w:line="276" w:lineRule="auto"/>
        <w:jc w:val="left"/>
        <w:rPr>
          <w:i/>
          <w:lang w:val="en-GB"/>
        </w:rPr>
      </w:pPr>
    </w:p>
    <w:p w14:paraId="433C1DFB" w14:textId="5E6679D9" w:rsidR="00AE5EFB" w:rsidRPr="007701FE" w:rsidRDefault="00497384" w:rsidP="007D384F">
      <w:pPr>
        <w:spacing w:line="276" w:lineRule="auto"/>
        <w:jc w:val="left"/>
        <w:rPr>
          <w:rFonts w:asciiTheme="majorHAnsi" w:eastAsiaTheme="majorEastAsia" w:hAnsiTheme="majorHAnsi" w:cstheme="majorBidi"/>
          <w:b/>
          <w:bCs/>
          <w:i/>
          <w:color w:val="395775" w:themeColor="accent1"/>
          <w:sz w:val="36"/>
          <w:szCs w:val="36"/>
          <w:lang w:val="en-GB" w:eastAsia="ja-JP"/>
        </w:rPr>
      </w:pPr>
      <w:r w:rsidRPr="007701FE">
        <w:rPr>
          <w:i/>
          <w:lang w:val="en-GB"/>
        </w:rPr>
        <w:t>Front page picture</w:t>
      </w:r>
      <w:r w:rsidR="00FD10F8" w:rsidRPr="007701FE">
        <w:rPr>
          <w:i/>
          <w:lang w:val="en-GB"/>
        </w:rPr>
        <w:t xml:space="preserve">: MF Folgefonn, </w:t>
      </w:r>
      <w:r w:rsidRPr="007701FE">
        <w:rPr>
          <w:i/>
          <w:lang w:val="en-GB"/>
        </w:rPr>
        <w:t>in traffic at</w:t>
      </w:r>
      <w:r w:rsidR="00FD10F8" w:rsidRPr="007701FE">
        <w:rPr>
          <w:i/>
          <w:lang w:val="en-GB"/>
        </w:rPr>
        <w:t xml:space="preserve"> Jektavik-Nordhuglo-Hodnanes.</w:t>
      </w:r>
      <w:r w:rsidR="004744E1" w:rsidRPr="007701FE">
        <w:rPr>
          <w:i/>
          <w:lang w:val="en-GB"/>
        </w:rPr>
        <w:br w:type="page"/>
      </w:r>
    </w:p>
    <w:p w14:paraId="22924EA3" w14:textId="065D095B" w:rsidR="00E76C76" w:rsidRPr="007701FE" w:rsidRDefault="00497384" w:rsidP="005C36F8">
      <w:pPr>
        <w:pStyle w:val="Heading1"/>
        <w:numPr>
          <w:ilvl w:val="0"/>
          <w:numId w:val="0"/>
        </w:numPr>
        <w:rPr>
          <w:lang w:val="en-GB"/>
        </w:rPr>
      </w:pPr>
      <w:r w:rsidRPr="007701FE">
        <w:rPr>
          <w:lang w:val="en-GB"/>
        </w:rPr>
        <w:lastRenderedPageBreak/>
        <w:t>Summary</w:t>
      </w:r>
    </w:p>
    <w:p w14:paraId="4E3B666B" w14:textId="34FF11C8" w:rsidR="00635DD7" w:rsidRPr="007701FE" w:rsidRDefault="00635DD7" w:rsidP="00635DD7">
      <w:pPr>
        <w:rPr>
          <w:lang w:val="en-GB" w:eastAsia="nn-NO"/>
        </w:rPr>
      </w:pPr>
      <w:r w:rsidRPr="007701FE">
        <w:rPr>
          <w:lang w:val="en-GB" w:eastAsia="nn-NO"/>
        </w:rPr>
        <w:t xml:space="preserve">The Norwegian Government has set at target to reduce emissions from the transport sector by 50 percent in 2030 compared with 2005. As responsible for public transport (except trains and national roads), the municipal sector plays an important role in reducing greenhouse gas emissions. Based on interviews with all </w:t>
      </w:r>
      <w:r w:rsidR="00A32F14" w:rsidRPr="007701FE">
        <w:rPr>
          <w:lang w:val="en-GB" w:eastAsia="nn-NO"/>
        </w:rPr>
        <w:t>counties</w:t>
      </w:r>
      <w:r w:rsidRPr="007701FE">
        <w:rPr>
          <w:lang w:val="en-GB" w:eastAsia="nn-NO"/>
        </w:rPr>
        <w:t xml:space="preserve">, this project analyses the plans of phasing in fossil-free solutions in public bus, </w:t>
      </w:r>
      <w:r w:rsidR="00A32F14" w:rsidRPr="007701FE">
        <w:rPr>
          <w:lang w:val="en-GB" w:eastAsia="nn-NO"/>
        </w:rPr>
        <w:t>boats</w:t>
      </w:r>
      <w:r w:rsidRPr="007701FE">
        <w:rPr>
          <w:lang w:val="en-GB" w:eastAsia="nn-NO"/>
        </w:rPr>
        <w:t xml:space="preserve"> and ferry traffic. We estimate the cost of the investments in </w:t>
      </w:r>
      <w:r w:rsidR="003D6825" w:rsidRPr="007701FE">
        <w:rPr>
          <w:lang w:val="en-GB" w:eastAsia="nn-NO"/>
        </w:rPr>
        <w:t>emission</w:t>
      </w:r>
      <w:r w:rsidRPr="007701FE">
        <w:rPr>
          <w:lang w:val="en-GB" w:eastAsia="nn-NO"/>
        </w:rPr>
        <w:t xml:space="preserve"> free technologies so far, planned investments, and cost related to a potential total phase-out of fossil fuels in the future.</w:t>
      </w:r>
    </w:p>
    <w:p w14:paraId="57D4E372" w14:textId="578F7B23" w:rsidR="00635DD7" w:rsidRPr="007701FE" w:rsidRDefault="00635DD7" w:rsidP="00635DD7">
      <w:pPr>
        <w:rPr>
          <w:lang w:val="en-GB" w:eastAsia="nn-NO"/>
        </w:rPr>
      </w:pPr>
      <w:r w:rsidRPr="007701FE">
        <w:rPr>
          <w:lang w:val="en-GB" w:eastAsia="nn-NO"/>
        </w:rPr>
        <w:t xml:space="preserve">We estimate that 23 per cent of the present municipal bus traffic is already operating fossil-free, and that this share will rise to almost 50 per cent by 2021, given the investments that are already planned. </w:t>
      </w:r>
      <w:r w:rsidR="0031256E" w:rsidRPr="007701FE">
        <w:rPr>
          <w:lang w:val="en-GB" w:eastAsia="nn-NO"/>
        </w:rPr>
        <w:t>Electric</w:t>
      </w:r>
      <w:r w:rsidRPr="007701FE">
        <w:rPr>
          <w:lang w:val="en-GB" w:eastAsia="nn-NO"/>
        </w:rPr>
        <w:t xml:space="preserve"> buses are common in urban areas, and costs are expected to fall together with further phasing-in towards 2025. Outside cities, counties </w:t>
      </w:r>
      <w:r w:rsidR="0031256E" w:rsidRPr="007701FE">
        <w:rPr>
          <w:lang w:val="en-GB" w:eastAsia="nn-NO"/>
        </w:rPr>
        <w:t xml:space="preserve">tend to </w:t>
      </w:r>
      <w:r w:rsidRPr="007701FE">
        <w:rPr>
          <w:lang w:val="en-GB" w:eastAsia="nn-NO"/>
        </w:rPr>
        <w:t>focus on biogas (biomethane) and renewable diesel fuels (largely HVO). Around 75 per cent of the fossil-free traffic work is estimated to be operated with renewable diesel fuels in the period 2019-2025.</w:t>
      </w:r>
    </w:p>
    <w:p w14:paraId="3A3CA20E" w14:textId="1EAD0C75" w:rsidR="006B0810" w:rsidRPr="007701FE" w:rsidRDefault="00C627B3" w:rsidP="006B0810">
      <w:pPr>
        <w:rPr>
          <w:lang w:val="en-GB" w:eastAsia="nn-NO"/>
        </w:rPr>
      </w:pPr>
      <w:r w:rsidRPr="007701FE">
        <w:rPr>
          <w:lang w:val="en-GB" w:eastAsia="nn-NO"/>
        </w:rPr>
        <w:t xml:space="preserve">There are few electric ferries </w:t>
      </w:r>
      <w:r w:rsidR="004375ED" w:rsidRPr="007701FE">
        <w:rPr>
          <w:lang w:val="en-GB" w:eastAsia="nn-NO"/>
        </w:rPr>
        <w:t>in operation today</w:t>
      </w:r>
      <w:r w:rsidR="00635DD7" w:rsidRPr="007701FE">
        <w:rPr>
          <w:lang w:val="en-GB" w:eastAsia="nn-NO"/>
        </w:rPr>
        <w:t xml:space="preserve">. According to approved plans, almost 3 million annual </w:t>
      </w:r>
      <w:r w:rsidR="004375ED" w:rsidRPr="007701FE">
        <w:rPr>
          <w:lang w:val="en-GB" w:eastAsia="nn-NO"/>
        </w:rPr>
        <w:t>kilometres</w:t>
      </w:r>
      <w:r w:rsidR="00635DD7" w:rsidRPr="007701FE">
        <w:rPr>
          <w:lang w:val="en-GB" w:eastAsia="nn-NO"/>
        </w:rPr>
        <w:t xml:space="preserve"> of ferry traffic will be operated with electricity </w:t>
      </w:r>
      <w:r w:rsidR="004375ED" w:rsidRPr="007701FE">
        <w:rPr>
          <w:lang w:val="en-GB" w:eastAsia="nn-NO"/>
        </w:rPr>
        <w:t>instead</w:t>
      </w:r>
      <w:r w:rsidR="00635DD7" w:rsidRPr="007701FE">
        <w:rPr>
          <w:lang w:val="en-GB" w:eastAsia="nn-NO"/>
        </w:rPr>
        <w:t xml:space="preserve"> MGO or LNG, </w:t>
      </w:r>
      <w:r w:rsidR="00CB7DB7" w:rsidRPr="007701FE">
        <w:rPr>
          <w:lang w:val="en-GB" w:eastAsia="nn-NO"/>
        </w:rPr>
        <w:t>replacing</w:t>
      </w:r>
      <w:r w:rsidR="00635DD7" w:rsidRPr="007701FE">
        <w:rPr>
          <w:lang w:val="en-GB" w:eastAsia="nn-NO"/>
        </w:rPr>
        <w:t xml:space="preserve"> about one third of the total ferry routes. </w:t>
      </w:r>
      <w:r w:rsidR="00CB7DB7" w:rsidRPr="007701FE">
        <w:rPr>
          <w:lang w:val="en-GB" w:eastAsia="nn-NO"/>
        </w:rPr>
        <w:t>Eight</w:t>
      </w:r>
      <w:r w:rsidR="00635DD7" w:rsidRPr="007701FE">
        <w:rPr>
          <w:lang w:val="en-GB" w:eastAsia="nn-NO"/>
        </w:rPr>
        <w:t xml:space="preserve"> percent of the </w:t>
      </w:r>
      <w:r w:rsidR="003D6825" w:rsidRPr="007701FE">
        <w:rPr>
          <w:lang w:val="en-GB" w:eastAsia="nn-NO"/>
        </w:rPr>
        <w:t xml:space="preserve">emission free </w:t>
      </w:r>
      <w:r w:rsidR="00635DD7" w:rsidRPr="007701FE">
        <w:rPr>
          <w:lang w:val="en-GB" w:eastAsia="nn-NO"/>
        </w:rPr>
        <w:t>solutions are already phased in before 2019, while the rest is planned to be implemented before 2025. Hordaland and Møre og Romsdal stand out</w:t>
      </w:r>
      <w:r w:rsidR="003D6825" w:rsidRPr="007701FE">
        <w:rPr>
          <w:lang w:val="en-GB" w:eastAsia="nn-NO"/>
        </w:rPr>
        <w:t xml:space="preserve"> among the counties, as they</w:t>
      </w:r>
      <w:r w:rsidR="00635DD7" w:rsidRPr="007701FE">
        <w:rPr>
          <w:lang w:val="en-GB" w:eastAsia="nn-NO"/>
        </w:rPr>
        <w:t xml:space="preserve"> </w:t>
      </w:r>
      <w:r w:rsidR="005353A9" w:rsidRPr="007701FE">
        <w:rPr>
          <w:lang w:val="en-GB" w:eastAsia="nn-NO"/>
        </w:rPr>
        <w:t>have decided</w:t>
      </w:r>
      <w:r w:rsidR="00635DD7" w:rsidRPr="007701FE">
        <w:rPr>
          <w:lang w:val="en-GB" w:eastAsia="nn-NO"/>
        </w:rPr>
        <w:t xml:space="preserve"> to electrify 17 and </w:t>
      </w:r>
      <w:r w:rsidR="005353A9" w:rsidRPr="007701FE">
        <w:rPr>
          <w:lang w:val="en-GB" w:eastAsia="nn-NO"/>
        </w:rPr>
        <w:t>nine</w:t>
      </w:r>
      <w:r w:rsidR="00635DD7" w:rsidRPr="007701FE">
        <w:rPr>
          <w:lang w:val="en-GB" w:eastAsia="nn-NO"/>
        </w:rPr>
        <w:t xml:space="preserve"> ferry connections</w:t>
      </w:r>
      <w:r w:rsidR="005353A9" w:rsidRPr="007701FE">
        <w:rPr>
          <w:lang w:val="en-GB" w:eastAsia="nn-NO"/>
        </w:rPr>
        <w:t>,</w:t>
      </w:r>
      <w:r w:rsidR="00635DD7" w:rsidRPr="007701FE">
        <w:rPr>
          <w:lang w:val="en-GB" w:eastAsia="nn-NO"/>
        </w:rPr>
        <w:t xml:space="preserve"> respectively</w:t>
      </w:r>
      <w:r w:rsidR="005353A9" w:rsidRPr="007701FE">
        <w:rPr>
          <w:lang w:val="en-GB" w:eastAsia="nn-NO"/>
        </w:rPr>
        <w:t>,</w:t>
      </w:r>
      <w:r w:rsidR="00635DD7" w:rsidRPr="007701FE">
        <w:rPr>
          <w:lang w:val="en-GB" w:eastAsia="nn-NO"/>
        </w:rPr>
        <w:t xml:space="preserve"> over the next few years</w:t>
      </w:r>
      <w:r w:rsidR="005353A9" w:rsidRPr="007701FE">
        <w:rPr>
          <w:lang w:val="en-GB" w:eastAsia="nn-NO"/>
        </w:rPr>
        <w:t xml:space="preserve">. This </w:t>
      </w:r>
      <w:r w:rsidR="00635DD7" w:rsidRPr="007701FE">
        <w:rPr>
          <w:lang w:val="en-GB" w:eastAsia="nn-NO"/>
        </w:rPr>
        <w:t xml:space="preserve">represents 83 per cent of </w:t>
      </w:r>
      <w:r w:rsidR="00E64F0B" w:rsidRPr="007701FE">
        <w:rPr>
          <w:lang w:val="en-GB" w:eastAsia="nn-NO"/>
        </w:rPr>
        <w:t xml:space="preserve">the planned electric free kilometres in Norway. </w:t>
      </w:r>
      <w:r w:rsidR="00635DD7" w:rsidRPr="007701FE">
        <w:rPr>
          <w:rFonts w:eastAsia="Times New Roman" w:cstheme="minorHAnsi"/>
          <w:color w:val="212121"/>
          <w:szCs w:val="20"/>
          <w:lang w:val="en-GB" w:eastAsia="nn-NO"/>
        </w:rPr>
        <w:t xml:space="preserve">Except city boat connections in Bergen and Oslo, only two municipal speedboats are approved for piloting of fossil free traffic in Norway. </w:t>
      </w:r>
    </w:p>
    <w:p w14:paraId="24FE41A5" w14:textId="1396C0D7" w:rsidR="002B7413" w:rsidRPr="007701FE" w:rsidRDefault="002B7413" w:rsidP="002B7413">
      <w:pPr>
        <w:pStyle w:val="Caption"/>
        <w:spacing w:before="0" w:after="0"/>
        <w:rPr>
          <w:lang w:val="en-GB"/>
        </w:rPr>
      </w:pPr>
      <w:r w:rsidRPr="007701FE">
        <w:rPr>
          <w:lang w:val="en-GB"/>
        </w:rPr>
        <w:t>Figur</w:t>
      </w:r>
      <w:r w:rsidR="001D70D6" w:rsidRPr="007701FE">
        <w:rPr>
          <w:lang w:val="en-GB"/>
        </w:rPr>
        <w:t>e</w:t>
      </w:r>
      <w:r w:rsidRPr="007701FE">
        <w:rPr>
          <w:lang w:val="en-GB"/>
        </w:rPr>
        <w:t xml:space="preserve"> A </w:t>
      </w:r>
      <w:r w:rsidR="00FF6EDD" w:rsidRPr="007701FE">
        <w:rPr>
          <w:lang w:val="en-GB"/>
        </w:rPr>
        <w:t>Estimated annual reductions in greenhouse gas emissions (tCO2e), by means of transport</w:t>
      </w:r>
    </w:p>
    <w:p w14:paraId="492914D5" w14:textId="26CB4315" w:rsidR="002B7413" w:rsidRPr="007701FE" w:rsidRDefault="00B05C42" w:rsidP="002B7413">
      <w:pPr>
        <w:widowControl w:val="0"/>
        <w:rPr>
          <w:lang w:val="en-GB"/>
        </w:rPr>
      </w:pPr>
      <w:r w:rsidRPr="007701FE">
        <w:rPr>
          <w:noProof/>
          <w:lang w:val="en-GB"/>
        </w:rPr>
        <w:drawing>
          <wp:inline distT="0" distB="0" distL="0" distR="0" wp14:anchorId="62A3FFEE" wp14:editId="57CA7B73">
            <wp:extent cx="5759450" cy="2159635"/>
            <wp:effectExtent l="0" t="0" r="0" b="0"/>
            <wp:docPr id="6" name="Chart 6">
              <a:extLst xmlns:a="http://schemas.openxmlformats.org/drawingml/2006/main">
                <a:ext uri="{FF2B5EF4-FFF2-40B4-BE49-F238E27FC236}">
                  <a16:creationId xmlns:a16="http://schemas.microsoft.com/office/drawing/2014/main" id="{A3351D9D-3A1E-4423-A649-ED0FBDC4F8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4FF9EA6" w14:textId="2CD92D26" w:rsidR="00584295" w:rsidRPr="007701FE" w:rsidRDefault="00584295" w:rsidP="00584295">
      <w:pPr>
        <w:rPr>
          <w:lang w:val="en-GB"/>
        </w:rPr>
      </w:pPr>
      <w:r w:rsidRPr="007701FE">
        <w:rPr>
          <w:lang w:val="en-GB"/>
        </w:rPr>
        <w:t>Figure A shows the estimated annual reductions in greenhouse gas emissions from county transport as a result of the phasing-in of fossil-free solutions. In 2019, the estimated effect is about 160,000 tonnes of CO</w:t>
      </w:r>
      <w:r w:rsidRPr="007701FE">
        <w:rPr>
          <w:vertAlign w:val="subscript"/>
          <w:lang w:val="en-GB"/>
        </w:rPr>
        <w:t>2</w:t>
      </w:r>
      <w:r w:rsidRPr="007701FE">
        <w:rPr>
          <w:lang w:val="en-GB"/>
        </w:rPr>
        <w:t>-e</w:t>
      </w:r>
      <w:r w:rsidR="009771A4" w:rsidRPr="007701FE">
        <w:rPr>
          <w:lang w:val="en-GB"/>
        </w:rPr>
        <w:t xml:space="preserve"> per year</w:t>
      </w:r>
      <w:r w:rsidRPr="007701FE">
        <w:rPr>
          <w:lang w:val="en-GB"/>
        </w:rPr>
        <w:t xml:space="preserve">, mainly as a result of conversion to renewable diesel fuel and biogas in bus traffic (81 per cent). </w:t>
      </w:r>
      <w:r w:rsidR="009771A4" w:rsidRPr="007701FE">
        <w:rPr>
          <w:lang w:val="en-GB"/>
        </w:rPr>
        <w:t>The estimated</w:t>
      </w:r>
      <w:r w:rsidRPr="007701FE">
        <w:rPr>
          <w:lang w:val="en-GB"/>
        </w:rPr>
        <w:t xml:space="preserve"> reduction in 2025 is </w:t>
      </w:r>
      <w:r w:rsidR="009771A4" w:rsidRPr="007701FE">
        <w:rPr>
          <w:lang w:val="en-GB"/>
        </w:rPr>
        <w:t>about 250,000 tonnes of CO</w:t>
      </w:r>
      <w:r w:rsidR="009771A4" w:rsidRPr="007701FE">
        <w:rPr>
          <w:vertAlign w:val="subscript"/>
          <w:lang w:val="en-GB"/>
        </w:rPr>
        <w:t>2</w:t>
      </w:r>
      <w:r w:rsidR="009771A4" w:rsidRPr="007701FE">
        <w:rPr>
          <w:lang w:val="en-GB"/>
        </w:rPr>
        <w:t>-e per year</w:t>
      </w:r>
      <w:r w:rsidRPr="007701FE">
        <w:rPr>
          <w:lang w:val="en-GB"/>
        </w:rPr>
        <w:t>. As of 2020, we estimate that electrical solutions will contribute 43-45 per cent of the annual emissions reductions from the sector, mainly as a result of electrification of ferry services.</w:t>
      </w:r>
    </w:p>
    <w:p w14:paraId="3D763C51" w14:textId="02C85329" w:rsidR="00584295" w:rsidRPr="007701FE" w:rsidRDefault="00584295" w:rsidP="00584295">
      <w:pPr>
        <w:widowControl w:val="0"/>
        <w:rPr>
          <w:lang w:val="en-GB"/>
        </w:rPr>
      </w:pPr>
      <w:r w:rsidRPr="007701FE">
        <w:rPr>
          <w:lang w:val="en-GB"/>
        </w:rPr>
        <w:t xml:space="preserve">This contribution to </w:t>
      </w:r>
      <w:r w:rsidR="009771A4" w:rsidRPr="007701FE">
        <w:rPr>
          <w:lang w:val="en-GB"/>
        </w:rPr>
        <w:t xml:space="preserve">reach </w:t>
      </w:r>
      <w:r w:rsidRPr="007701FE">
        <w:rPr>
          <w:lang w:val="en-GB"/>
        </w:rPr>
        <w:t xml:space="preserve">national emission targets implies additional costs for the counties, as the costs would have been lower with conventional solutions </w:t>
      </w:r>
      <w:r w:rsidR="009771A4" w:rsidRPr="007701FE">
        <w:rPr>
          <w:lang w:val="en-GB"/>
        </w:rPr>
        <w:t>with</w:t>
      </w:r>
      <w:r w:rsidRPr="007701FE">
        <w:rPr>
          <w:lang w:val="en-GB"/>
        </w:rPr>
        <w:t xml:space="preserve"> mineral oil and natural gas as energy carriers. Figure B shows the counties’ estimated annual additional costs for implemented and </w:t>
      </w:r>
      <w:r w:rsidR="009771A4" w:rsidRPr="007701FE">
        <w:rPr>
          <w:lang w:val="en-GB"/>
        </w:rPr>
        <w:t>decided</w:t>
      </w:r>
      <w:r w:rsidRPr="007701FE">
        <w:rPr>
          <w:lang w:val="en-GB"/>
        </w:rPr>
        <w:t xml:space="preserve"> investments in infrastructure, </w:t>
      </w:r>
      <w:r w:rsidRPr="007701FE">
        <w:rPr>
          <w:lang w:val="en-GB"/>
        </w:rPr>
        <w:lastRenderedPageBreak/>
        <w:t xml:space="preserve">procurement or rebuilding of vessels/vehicles and potential increased operating costs for bus, ferry and </w:t>
      </w:r>
      <w:r w:rsidR="009771A4" w:rsidRPr="007701FE">
        <w:rPr>
          <w:lang w:val="en-GB"/>
        </w:rPr>
        <w:t>boat</w:t>
      </w:r>
      <w:r w:rsidRPr="007701FE">
        <w:rPr>
          <w:lang w:val="en-GB"/>
        </w:rPr>
        <w:t xml:space="preserve"> traffic. In particular, the figure shows the large increase in additional costs related to ferry electrification, carried by a few counties. The counties’ total additional costs are estimated at almost NOK </w:t>
      </w:r>
      <w:r w:rsidR="004A1E38" w:rsidRPr="007701FE">
        <w:rPr>
          <w:lang w:val="en-GB"/>
        </w:rPr>
        <w:t>645</w:t>
      </w:r>
      <w:r w:rsidRPr="007701FE">
        <w:rPr>
          <w:lang w:val="en-GB"/>
        </w:rPr>
        <w:t xml:space="preserve"> million</w:t>
      </w:r>
      <w:r w:rsidR="004A1E38" w:rsidRPr="007701FE">
        <w:rPr>
          <w:lang w:val="en-GB"/>
        </w:rPr>
        <w:t xml:space="preserve"> </w:t>
      </w:r>
      <w:r w:rsidRPr="007701FE">
        <w:rPr>
          <w:lang w:val="en-GB"/>
        </w:rPr>
        <w:t xml:space="preserve">per year by 2025. This is equivalent to an additional cost of </w:t>
      </w:r>
      <w:r w:rsidR="004A1E38" w:rsidRPr="007701FE">
        <w:rPr>
          <w:lang w:val="en-GB"/>
        </w:rPr>
        <w:t>about NOK</w:t>
      </w:r>
      <w:r w:rsidRPr="007701FE">
        <w:rPr>
          <w:lang w:val="en-GB"/>
        </w:rPr>
        <w:t xml:space="preserve"> </w:t>
      </w:r>
      <w:r w:rsidR="004A1E38" w:rsidRPr="007701FE">
        <w:rPr>
          <w:lang w:val="en-GB"/>
        </w:rPr>
        <w:t>2600</w:t>
      </w:r>
      <w:r w:rsidRPr="007701FE">
        <w:rPr>
          <w:lang w:val="en-GB"/>
        </w:rPr>
        <w:t xml:space="preserve"> per tonne of </w:t>
      </w:r>
      <w:r w:rsidR="004A1E38" w:rsidRPr="007701FE">
        <w:rPr>
          <w:lang w:val="en-GB"/>
        </w:rPr>
        <w:t>CO</w:t>
      </w:r>
      <w:r w:rsidR="004A1E38" w:rsidRPr="007701FE">
        <w:rPr>
          <w:vertAlign w:val="subscript"/>
          <w:lang w:val="en-GB"/>
        </w:rPr>
        <w:t>2</w:t>
      </w:r>
      <w:r w:rsidR="004A1E38" w:rsidRPr="007701FE">
        <w:rPr>
          <w:lang w:val="en-GB"/>
        </w:rPr>
        <w:t xml:space="preserve">-e </w:t>
      </w:r>
      <w:r w:rsidRPr="007701FE">
        <w:rPr>
          <w:lang w:val="en-GB"/>
        </w:rPr>
        <w:t>that accrues to the counties.</w:t>
      </w:r>
    </w:p>
    <w:p w14:paraId="7E1E21A8" w14:textId="02C82FB6" w:rsidR="0043079C" w:rsidRPr="007701FE" w:rsidRDefault="0043079C" w:rsidP="0043079C">
      <w:pPr>
        <w:pStyle w:val="Caption"/>
        <w:spacing w:before="0" w:after="0"/>
        <w:rPr>
          <w:lang w:val="en-GB"/>
        </w:rPr>
      </w:pPr>
      <w:r w:rsidRPr="007701FE">
        <w:rPr>
          <w:lang w:val="en-GB"/>
        </w:rPr>
        <w:t>Figur</w:t>
      </w:r>
      <w:r w:rsidR="001D70D6" w:rsidRPr="007701FE">
        <w:rPr>
          <w:lang w:val="en-GB"/>
        </w:rPr>
        <w:t>e</w:t>
      </w:r>
      <w:r w:rsidRPr="007701FE">
        <w:rPr>
          <w:lang w:val="en-GB"/>
        </w:rPr>
        <w:t xml:space="preserve"> </w:t>
      </w:r>
      <w:r w:rsidR="00443C9B" w:rsidRPr="007701FE">
        <w:rPr>
          <w:lang w:val="en-GB"/>
        </w:rPr>
        <w:t>B</w:t>
      </w:r>
      <w:r w:rsidRPr="007701FE">
        <w:rPr>
          <w:lang w:val="en-GB"/>
        </w:rPr>
        <w:t xml:space="preserve"> </w:t>
      </w:r>
      <w:r w:rsidR="00932678" w:rsidRPr="007701FE">
        <w:rPr>
          <w:lang w:val="en-GB"/>
        </w:rPr>
        <w:t>Estimated annual additional costs for the counties by the phasing-in and decided implementation of fossil-free public transport (mill. NOK</w:t>
      </w:r>
      <w:r w:rsidR="003B4FDD">
        <w:rPr>
          <w:lang w:val="en-GB"/>
        </w:rPr>
        <w:t>,</w:t>
      </w:r>
      <w:r w:rsidR="00932678" w:rsidRPr="007701FE">
        <w:rPr>
          <w:lang w:val="en-GB"/>
        </w:rPr>
        <w:t xml:space="preserve"> 2019), by means of transport</w:t>
      </w:r>
    </w:p>
    <w:p w14:paraId="2B6D7F58" w14:textId="65A9FA01" w:rsidR="00932070" w:rsidRPr="007701FE" w:rsidRDefault="00FD0AA5" w:rsidP="007200FB">
      <w:pPr>
        <w:rPr>
          <w:lang w:val="en-GB"/>
        </w:rPr>
      </w:pPr>
      <w:r w:rsidRPr="007701FE">
        <w:rPr>
          <w:noProof/>
          <w:lang w:val="en-GB"/>
        </w:rPr>
        <w:drawing>
          <wp:inline distT="0" distB="0" distL="0" distR="0" wp14:anchorId="02C6CD5C" wp14:editId="0385A9EA">
            <wp:extent cx="5759450" cy="2160000"/>
            <wp:effectExtent l="0" t="0" r="0" b="0"/>
            <wp:docPr id="8" name="Chart 8">
              <a:extLst xmlns:a="http://schemas.openxmlformats.org/drawingml/2006/main">
                <a:ext uri="{FF2B5EF4-FFF2-40B4-BE49-F238E27FC236}">
                  <a16:creationId xmlns:a16="http://schemas.microsoft.com/office/drawing/2014/main" id="{6ED5E1E0-FD92-419B-8288-E699270601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4E8E65C" w14:textId="41E41E08" w:rsidR="00932678" w:rsidRPr="007701FE" w:rsidRDefault="006A3731" w:rsidP="007200FB">
      <w:pPr>
        <w:rPr>
          <w:lang w:val="en-GB"/>
        </w:rPr>
      </w:pPr>
      <w:r w:rsidRPr="007701FE">
        <w:rPr>
          <w:lang w:val="en-GB"/>
        </w:rPr>
        <w:t xml:space="preserve">Figure C presents the </w:t>
      </w:r>
      <w:r w:rsidR="00B403A6" w:rsidRPr="007701FE">
        <w:rPr>
          <w:lang w:val="en-GB"/>
        </w:rPr>
        <w:t>estimated</w:t>
      </w:r>
      <w:r w:rsidRPr="007701FE">
        <w:rPr>
          <w:lang w:val="en-GB"/>
        </w:rPr>
        <w:t xml:space="preserve"> additional costs for the counties with the implemented and planned transition </w:t>
      </w:r>
      <w:r w:rsidR="00B403A6" w:rsidRPr="007701FE">
        <w:rPr>
          <w:lang w:val="en-GB"/>
        </w:rPr>
        <w:t>fossil</w:t>
      </w:r>
      <w:r w:rsidRPr="007701FE">
        <w:rPr>
          <w:lang w:val="en-GB"/>
        </w:rPr>
        <w:t>-free solutions</w:t>
      </w:r>
      <w:r w:rsidR="00815B3E" w:rsidRPr="007701FE">
        <w:rPr>
          <w:lang w:val="en-GB"/>
        </w:rPr>
        <w:t>, due to procurement or rebuilding of vessels/vehicles and potential increased operating costs for bus, ferry and boat traffic. Additional costs due to i</w:t>
      </w:r>
      <w:r w:rsidR="007466F7" w:rsidRPr="007701FE">
        <w:rPr>
          <w:lang w:val="en-GB"/>
        </w:rPr>
        <w:t>nfrastructure i</w:t>
      </w:r>
      <w:r w:rsidR="00815B3E" w:rsidRPr="007701FE">
        <w:rPr>
          <w:lang w:val="en-GB"/>
        </w:rPr>
        <w:t>nvestments i</w:t>
      </w:r>
      <w:r w:rsidR="007466F7" w:rsidRPr="007701FE">
        <w:rPr>
          <w:lang w:val="en-GB"/>
        </w:rPr>
        <w:t xml:space="preserve">s thus not included (unlike Figure B). We estimate these additional costs to be </w:t>
      </w:r>
      <w:r w:rsidR="007701FE" w:rsidRPr="007701FE">
        <w:rPr>
          <w:lang w:val="en-GB"/>
        </w:rPr>
        <w:t>just below NOK 500 million per year by 2025.</w:t>
      </w:r>
    </w:p>
    <w:p w14:paraId="165AA8D0" w14:textId="449AD41D" w:rsidR="007701FE" w:rsidRPr="007701FE" w:rsidRDefault="004406A9" w:rsidP="007701FE">
      <w:pPr>
        <w:pStyle w:val="Caption"/>
        <w:spacing w:before="0" w:after="0"/>
        <w:rPr>
          <w:lang w:val="en-GB"/>
        </w:rPr>
      </w:pPr>
      <w:r w:rsidRPr="007701FE">
        <w:rPr>
          <w:lang w:val="en-GB"/>
        </w:rPr>
        <w:t>Figur</w:t>
      </w:r>
      <w:r w:rsidR="006A3731" w:rsidRPr="007701FE">
        <w:rPr>
          <w:lang w:val="en-GB"/>
        </w:rPr>
        <w:t>e</w:t>
      </w:r>
      <w:r w:rsidRPr="007701FE">
        <w:rPr>
          <w:lang w:val="en-GB"/>
        </w:rPr>
        <w:t xml:space="preserve"> C </w:t>
      </w:r>
      <w:r w:rsidR="007701FE" w:rsidRPr="007701FE">
        <w:rPr>
          <w:lang w:val="en-GB"/>
        </w:rPr>
        <w:t>Estimated annual additional costs for the counties (infrastructure investments not included) by the phasing-in and decided implementation of fossil-free public transport (mill. NOK</w:t>
      </w:r>
      <w:r w:rsidR="003B4FDD">
        <w:rPr>
          <w:lang w:val="en-GB"/>
        </w:rPr>
        <w:t>,</w:t>
      </w:r>
      <w:r w:rsidR="007701FE" w:rsidRPr="007701FE">
        <w:rPr>
          <w:lang w:val="en-GB"/>
        </w:rPr>
        <w:t xml:space="preserve"> 2019), by means of transport</w:t>
      </w:r>
    </w:p>
    <w:p w14:paraId="0981C621" w14:textId="57AA2CAE" w:rsidR="007C3CA9" w:rsidRPr="007701FE" w:rsidRDefault="00E13197" w:rsidP="007200FB">
      <w:pPr>
        <w:rPr>
          <w:lang w:val="en-GB"/>
        </w:rPr>
      </w:pPr>
      <w:r w:rsidRPr="007701FE">
        <w:rPr>
          <w:noProof/>
          <w:lang w:val="en-GB"/>
        </w:rPr>
        <w:drawing>
          <wp:inline distT="0" distB="0" distL="0" distR="0" wp14:anchorId="3680E9BA" wp14:editId="4EC048A5">
            <wp:extent cx="5759450" cy="2159635"/>
            <wp:effectExtent l="0" t="0" r="0" b="0"/>
            <wp:docPr id="49" name="Chart 49">
              <a:extLst xmlns:a="http://schemas.openxmlformats.org/drawingml/2006/main">
                <a:ext uri="{FF2B5EF4-FFF2-40B4-BE49-F238E27FC236}">
                  <a16:creationId xmlns:a16="http://schemas.microsoft.com/office/drawing/2014/main" id="{D26E1684-96FB-44D1-9739-BB61D3EF95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7A67771" w14:textId="7817AA6B" w:rsidR="003B4FDD" w:rsidRPr="00CE0441" w:rsidRDefault="00A1752F" w:rsidP="00EA6743">
      <w:pPr>
        <w:rPr>
          <w:rFonts w:cstheme="minorHAnsi"/>
          <w:color w:val="212121"/>
          <w:szCs w:val="20"/>
          <w:shd w:val="clear" w:color="auto" w:fill="FFFFFF"/>
          <w:lang w:val="en-GB"/>
        </w:rPr>
      </w:pPr>
      <w:r>
        <w:rPr>
          <w:rFonts w:cstheme="minorHAnsi"/>
          <w:color w:val="212121"/>
          <w:szCs w:val="20"/>
          <w:shd w:val="clear" w:color="auto" w:fill="FFFFFF"/>
          <w:lang w:val="en-GB"/>
        </w:rPr>
        <w:t xml:space="preserve">While Figure B and C indicate the counties additional costs due to the </w:t>
      </w:r>
      <w:r w:rsidR="00534094">
        <w:rPr>
          <w:rFonts w:cstheme="minorHAnsi"/>
          <w:color w:val="212121"/>
          <w:szCs w:val="20"/>
          <w:shd w:val="clear" w:color="auto" w:fill="FFFFFF"/>
          <w:lang w:val="en-GB"/>
        </w:rPr>
        <w:t>decided</w:t>
      </w:r>
      <w:r w:rsidR="006A3891">
        <w:rPr>
          <w:rFonts w:cstheme="minorHAnsi"/>
          <w:color w:val="212121"/>
          <w:szCs w:val="20"/>
          <w:shd w:val="clear" w:color="auto" w:fill="FFFFFF"/>
          <w:lang w:val="en-GB"/>
        </w:rPr>
        <w:t xml:space="preserve"> </w:t>
      </w:r>
      <w:r w:rsidR="00534094">
        <w:rPr>
          <w:rFonts w:cstheme="minorHAnsi"/>
          <w:color w:val="212121"/>
          <w:szCs w:val="20"/>
          <w:shd w:val="clear" w:color="auto" w:fill="FFFFFF"/>
          <w:lang w:val="en-GB"/>
        </w:rPr>
        <w:t xml:space="preserve">upon </w:t>
      </w:r>
      <w:r>
        <w:rPr>
          <w:rFonts w:cstheme="minorHAnsi"/>
          <w:color w:val="212121"/>
          <w:szCs w:val="20"/>
          <w:shd w:val="clear" w:color="auto" w:fill="FFFFFF"/>
          <w:lang w:val="en-GB"/>
        </w:rPr>
        <w:t>transition to fossil-free solutions</w:t>
      </w:r>
      <w:r w:rsidR="00534094">
        <w:rPr>
          <w:rFonts w:cstheme="minorHAnsi"/>
          <w:color w:val="212121"/>
          <w:szCs w:val="20"/>
          <w:shd w:val="clear" w:color="auto" w:fill="FFFFFF"/>
          <w:lang w:val="en-GB"/>
        </w:rPr>
        <w:t xml:space="preserve">, </w:t>
      </w:r>
      <w:r w:rsidR="006A3891">
        <w:rPr>
          <w:rFonts w:cstheme="minorHAnsi"/>
          <w:color w:val="212121"/>
          <w:szCs w:val="20"/>
          <w:shd w:val="clear" w:color="auto" w:fill="FFFFFF"/>
          <w:lang w:val="en-GB"/>
        </w:rPr>
        <w:t xml:space="preserve">Figure D shows the </w:t>
      </w:r>
      <w:r w:rsidR="00EA6743" w:rsidRPr="00CE0441">
        <w:rPr>
          <w:rFonts w:cstheme="minorHAnsi"/>
          <w:color w:val="212121"/>
          <w:szCs w:val="20"/>
          <w:shd w:val="clear" w:color="auto" w:fill="FFFFFF"/>
          <w:lang w:val="en-GB"/>
        </w:rPr>
        <w:t xml:space="preserve">Figure </w:t>
      </w:r>
      <w:r w:rsidR="007A5F57">
        <w:rPr>
          <w:rFonts w:cstheme="minorHAnsi"/>
          <w:color w:val="212121"/>
          <w:szCs w:val="20"/>
          <w:shd w:val="clear" w:color="auto" w:fill="FFFFFF"/>
          <w:lang w:val="en-GB"/>
        </w:rPr>
        <w:t>D</w:t>
      </w:r>
      <w:r w:rsidR="00EA6743" w:rsidRPr="00CE0441">
        <w:rPr>
          <w:rFonts w:cstheme="minorHAnsi"/>
          <w:color w:val="212121"/>
          <w:szCs w:val="20"/>
          <w:shd w:val="clear" w:color="auto" w:fill="FFFFFF"/>
          <w:lang w:val="en-GB"/>
        </w:rPr>
        <w:t xml:space="preserve"> shows the </w:t>
      </w:r>
      <w:r w:rsidR="00EA6743">
        <w:rPr>
          <w:rFonts w:cstheme="minorHAnsi"/>
          <w:color w:val="212121"/>
          <w:szCs w:val="20"/>
          <w:shd w:val="clear" w:color="auto" w:fill="FFFFFF"/>
          <w:lang w:val="en-GB"/>
        </w:rPr>
        <w:t>counties</w:t>
      </w:r>
      <w:r w:rsidR="00EA6743" w:rsidRPr="00CE0441">
        <w:rPr>
          <w:rFonts w:cstheme="minorHAnsi"/>
          <w:color w:val="212121"/>
          <w:szCs w:val="20"/>
          <w:shd w:val="clear" w:color="auto" w:fill="FFFFFF"/>
          <w:lang w:val="en-GB"/>
        </w:rPr>
        <w:t xml:space="preserve">' estimated </w:t>
      </w:r>
      <w:r w:rsidR="00684452" w:rsidRPr="006A3891">
        <w:rPr>
          <w:rFonts w:cstheme="minorHAnsi"/>
          <w:i/>
          <w:color w:val="212121"/>
          <w:szCs w:val="20"/>
          <w:shd w:val="clear" w:color="auto" w:fill="FFFFFF"/>
          <w:lang w:val="en-GB"/>
        </w:rPr>
        <w:t>total</w:t>
      </w:r>
      <w:r w:rsidR="00EA6743" w:rsidRPr="00CE0441">
        <w:rPr>
          <w:rFonts w:cstheme="minorHAnsi"/>
          <w:color w:val="212121"/>
          <w:szCs w:val="20"/>
          <w:shd w:val="clear" w:color="auto" w:fill="FFFFFF"/>
          <w:lang w:val="en-GB"/>
        </w:rPr>
        <w:t xml:space="preserve"> costs </w:t>
      </w:r>
      <w:r w:rsidR="006A3891">
        <w:rPr>
          <w:rFonts w:cstheme="minorHAnsi"/>
          <w:color w:val="212121"/>
          <w:szCs w:val="20"/>
          <w:shd w:val="clear" w:color="auto" w:fill="FFFFFF"/>
          <w:lang w:val="en-GB"/>
        </w:rPr>
        <w:t xml:space="preserve">to reduce </w:t>
      </w:r>
      <w:r w:rsidR="006A3891">
        <w:rPr>
          <w:rFonts w:cstheme="minorHAnsi"/>
          <w:i/>
          <w:color w:val="212121"/>
          <w:szCs w:val="20"/>
          <w:shd w:val="clear" w:color="auto" w:fill="FFFFFF"/>
          <w:lang w:val="en-GB"/>
        </w:rPr>
        <w:t xml:space="preserve">all </w:t>
      </w:r>
      <w:r w:rsidR="006A3891">
        <w:rPr>
          <w:rFonts w:cstheme="minorHAnsi"/>
          <w:color w:val="212121"/>
          <w:szCs w:val="20"/>
          <w:shd w:val="clear" w:color="auto" w:fill="FFFFFF"/>
          <w:lang w:val="en-GB"/>
        </w:rPr>
        <w:t xml:space="preserve">greenhouse gas emissions from the transportation under their responsibility. We estimate these costs to be in the range NOK </w:t>
      </w:r>
      <w:r w:rsidR="006A3891" w:rsidRPr="007701FE">
        <w:rPr>
          <w:lang w:val="en-GB"/>
        </w:rPr>
        <w:t>860-1</w:t>
      </w:r>
      <w:r w:rsidR="006A3891">
        <w:rPr>
          <w:lang w:val="en-GB"/>
        </w:rPr>
        <w:t xml:space="preserve"> </w:t>
      </w:r>
      <w:r w:rsidR="006A3891" w:rsidRPr="007701FE">
        <w:rPr>
          <w:lang w:val="en-GB"/>
        </w:rPr>
        <w:t>340 mill</w:t>
      </w:r>
      <w:r w:rsidR="006A3891">
        <w:rPr>
          <w:lang w:val="en-GB"/>
        </w:rPr>
        <w:t>ion by 2030. Th</w:t>
      </w:r>
      <w:r w:rsidR="00402754">
        <w:rPr>
          <w:lang w:val="en-GB"/>
        </w:rPr>
        <w:t>is estimate includes both additional costs already incurred and future</w:t>
      </w:r>
      <w:r w:rsidR="0002541C">
        <w:rPr>
          <w:lang w:val="en-GB"/>
        </w:rPr>
        <w:t xml:space="preserve"> </w:t>
      </w:r>
      <w:r w:rsidR="00EA6743" w:rsidRPr="00CE0441">
        <w:rPr>
          <w:rFonts w:cstheme="minorHAnsi"/>
          <w:color w:val="212121"/>
          <w:szCs w:val="20"/>
          <w:shd w:val="clear" w:color="auto" w:fill="FFFFFF"/>
          <w:lang w:val="en-GB"/>
        </w:rPr>
        <w:t xml:space="preserve">additional costs for the </w:t>
      </w:r>
      <w:r w:rsidR="0002541C">
        <w:rPr>
          <w:rFonts w:cstheme="minorHAnsi"/>
          <w:color w:val="212121"/>
          <w:szCs w:val="20"/>
          <w:shd w:val="clear" w:color="auto" w:fill="FFFFFF"/>
          <w:lang w:val="en-GB"/>
        </w:rPr>
        <w:t xml:space="preserve">cutting the remaining emissions. </w:t>
      </w:r>
      <w:r w:rsidR="00EA6743" w:rsidRPr="00CE0441">
        <w:rPr>
          <w:rFonts w:cstheme="minorHAnsi"/>
          <w:color w:val="212121"/>
          <w:szCs w:val="20"/>
          <w:shd w:val="clear" w:color="auto" w:fill="FFFFFF"/>
          <w:lang w:val="en-GB"/>
        </w:rPr>
        <w:t xml:space="preserve">The span </w:t>
      </w:r>
      <w:r w:rsidR="00EA6743">
        <w:rPr>
          <w:rFonts w:cstheme="minorHAnsi"/>
          <w:color w:val="212121"/>
          <w:szCs w:val="20"/>
          <w:shd w:val="clear" w:color="auto" w:fill="FFFFFF"/>
          <w:lang w:val="en-GB"/>
        </w:rPr>
        <w:t xml:space="preserve">results </w:t>
      </w:r>
      <w:r w:rsidR="00EA6743" w:rsidRPr="00CE0441">
        <w:rPr>
          <w:rFonts w:cstheme="minorHAnsi"/>
          <w:color w:val="212121"/>
          <w:szCs w:val="20"/>
          <w:shd w:val="clear" w:color="auto" w:fill="FFFFFF"/>
          <w:lang w:val="en-GB"/>
        </w:rPr>
        <w:t xml:space="preserve">from uncertainty in technological and economic maturity. The high estimate is based on the fossil solutions being converted to the most expensive technology, while the low estimate is based on the </w:t>
      </w:r>
      <w:r w:rsidR="00EA6743">
        <w:rPr>
          <w:rFonts w:cstheme="minorHAnsi"/>
          <w:color w:val="212121"/>
          <w:szCs w:val="20"/>
          <w:shd w:val="clear" w:color="auto" w:fill="FFFFFF"/>
          <w:lang w:val="en-GB"/>
        </w:rPr>
        <w:t>lowest cost estimate</w:t>
      </w:r>
      <w:r w:rsidR="00EA6743" w:rsidRPr="00CE0441">
        <w:rPr>
          <w:rFonts w:cstheme="minorHAnsi"/>
          <w:color w:val="212121"/>
          <w:szCs w:val="20"/>
          <w:shd w:val="clear" w:color="auto" w:fill="FFFFFF"/>
          <w:lang w:val="en-GB"/>
        </w:rPr>
        <w:t>s.</w:t>
      </w:r>
    </w:p>
    <w:p w14:paraId="6829AE44" w14:textId="585853E4" w:rsidR="00B12997" w:rsidRPr="007701FE" w:rsidRDefault="002A0D7F" w:rsidP="00B12997">
      <w:pPr>
        <w:pStyle w:val="Caption"/>
        <w:spacing w:before="0" w:after="0"/>
        <w:rPr>
          <w:lang w:val="en-GB"/>
        </w:rPr>
      </w:pPr>
      <w:r w:rsidRPr="007701FE">
        <w:rPr>
          <w:lang w:val="en-GB"/>
        </w:rPr>
        <w:lastRenderedPageBreak/>
        <w:t>Figur</w:t>
      </w:r>
      <w:r w:rsidR="003B4FDD">
        <w:rPr>
          <w:lang w:val="en-GB"/>
        </w:rPr>
        <w:t xml:space="preserve">e </w:t>
      </w:r>
      <w:r w:rsidR="000859CC" w:rsidRPr="007701FE">
        <w:rPr>
          <w:lang w:val="en-GB"/>
        </w:rPr>
        <w:t>D</w:t>
      </w:r>
      <w:r w:rsidRPr="007701FE">
        <w:rPr>
          <w:lang w:val="en-GB"/>
        </w:rPr>
        <w:t xml:space="preserve"> </w:t>
      </w:r>
      <w:r w:rsidR="003B4FDD" w:rsidRPr="003B4FDD">
        <w:rPr>
          <w:lang w:val="en-GB"/>
        </w:rPr>
        <w:t>Estimated annual additional costs (</w:t>
      </w:r>
      <w:r w:rsidR="003B4FDD" w:rsidRPr="007701FE">
        <w:rPr>
          <w:lang w:val="en-GB"/>
        </w:rPr>
        <w:t>mill. NOK</w:t>
      </w:r>
      <w:r w:rsidR="003B4FDD">
        <w:rPr>
          <w:lang w:val="en-GB"/>
        </w:rPr>
        <w:t xml:space="preserve">, </w:t>
      </w:r>
      <w:r w:rsidR="003B4FDD" w:rsidRPr="007701FE">
        <w:rPr>
          <w:lang w:val="en-GB"/>
        </w:rPr>
        <w:t>2019</w:t>
      </w:r>
      <w:r w:rsidR="003B4FDD" w:rsidRPr="003B4FDD">
        <w:rPr>
          <w:lang w:val="en-GB"/>
        </w:rPr>
        <w:t xml:space="preserve">) by </w:t>
      </w:r>
      <w:r w:rsidR="003B4FDD">
        <w:rPr>
          <w:lang w:val="en-GB"/>
        </w:rPr>
        <w:t>transitioning</w:t>
      </w:r>
      <w:r w:rsidR="003B4FDD" w:rsidRPr="003B4FDD">
        <w:rPr>
          <w:lang w:val="en-GB"/>
        </w:rPr>
        <w:t xml:space="preserve"> to fossil-free county municipal public transport - high and low estimates, 2019-2030</w:t>
      </w:r>
    </w:p>
    <w:p w14:paraId="346F2442" w14:textId="15CEE0B5" w:rsidR="00383ACC" w:rsidRPr="007701FE" w:rsidRDefault="00383ACC" w:rsidP="002D76A2">
      <w:pPr>
        <w:rPr>
          <w:lang w:val="en-GB"/>
        </w:rPr>
      </w:pPr>
      <w:r w:rsidRPr="007701FE">
        <w:rPr>
          <w:noProof/>
          <w:lang w:val="en-GB"/>
        </w:rPr>
        <w:drawing>
          <wp:inline distT="0" distB="0" distL="0" distR="0" wp14:anchorId="3C8F2A9D" wp14:editId="46128F04">
            <wp:extent cx="5759450" cy="2159635"/>
            <wp:effectExtent l="0" t="0" r="0" b="0"/>
            <wp:docPr id="5" name="Chart 5">
              <a:extLst xmlns:a="http://schemas.openxmlformats.org/drawingml/2006/main">
                <a:ext uri="{FF2B5EF4-FFF2-40B4-BE49-F238E27FC236}">
                  <a16:creationId xmlns:a16="http://schemas.microsoft.com/office/drawing/2014/main" id="{BBCE4F32-2203-423D-BBA4-00836B84BE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E83E576" w14:textId="07A56C9F" w:rsidR="00592443" w:rsidRPr="00592443" w:rsidRDefault="00592443" w:rsidP="00592443">
      <w:pPr>
        <w:rPr>
          <w:lang w:val="en-GB"/>
        </w:rPr>
      </w:pPr>
      <w:r w:rsidRPr="00592443">
        <w:rPr>
          <w:lang w:val="en-GB"/>
        </w:rPr>
        <w:t xml:space="preserve">The </w:t>
      </w:r>
      <w:r>
        <w:rPr>
          <w:lang w:val="en-GB"/>
        </w:rPr>
        <w:t>estimates</w:t>
      </w:r>
      <w:r w:rsidRPr="00592443">
        <w:rPr>
          <w:lang w:val="en-GB"/>
        </w:rPr>
        <w:t xml:space="preserve"> of future additional costs for not-determined investments </w:t>
      </w:r>
      <w:r>
        <w:rPr>
          <w:lang w:val="en-GB"/>
        </w:rPr>
        <w:t xml:space="preserve">does not </w:t>
      </w:r>
      <w:r w:rsidR="00A452E2">
        <w:rPr>
          <w:lang w:val="en-GB"/>
        </w:rPr>
        <w:t>consider</w:t>
      </w:r>
      <w:r w:rsidR="003334C0">
        <w:rPr>
          <w:lang w:val="en-GB"/>
        </w:rPr>
        <w:t xml:space="preserve"> potential financial support</w:t>
      </w:r>
      <w:r w:rsidRPr="00592443">
        <w:rPr>
          <w:lang w:val="en-GB"/>
        </w:rPr>
        <w:t xml:space="preserve"> </w:t>
      </w:r>
      <w:r w:rsidR="003334C0">
        <w:rPr>
          <w:lang w:val="en-GB"/>
        </w:rPr>
        <w:t>from</w:t>
      </w:r>
      <w:r w:rsidRPr="00592443">
        <w:rPr>
          <w:lang w:val="en-GB"/>
        </w:rPr>
        <w:t xml:space="preserve"> Enova's support schemes. </w:t>
      </w:r>
      <w:r w:rsidR="003334C0">
        <w:rPr>
          <w:lang w:val="en-GB"/>
        </w:rPr>
        <w:t xml:space="preserve">If </w:t>
      </w:r>
      <w:r w:rsidR="009625BD">
        <w:rPr>
          <w:lang w:val="en-GB"/>
        </w:rPr>
        <w:t>financial support is given, the</w:t>
      </w:r>
      <w:r w:rsidRPr="00592443">
        <w:rPr>
          <w:lang w:val="en-GB"/>
        </w:rPr>
        <w:t xml:space="preserve"> counties' investment costs </w:t>
      </w:r>
      <w:r w:rsidR="009625BD">
        <w:rPr>
          <w:lang w:val="en-GB"/>
        </w:rPr>
        <w:t>will</w:t>
      </w:r>
      <w:r w:rsidRPr="00592443">
        <w:rPr>
          <w:lang w:val="en-GB"/>
        </w:rPr>
        <w:t xml:space="preserve"> </w:t>
      </w:r>
      <w:r w:rsidR="009625BD">
        <w:rPr>
          <w:lang w:val="en-GB"/>
        </w:rPr>
        <w:t>be</w:t>
      </w:r>
      <w:r w:rsidRPr="00592443">
        <w:rPr>
          <w:lang w:val="en-GB"/>
        </w:rPr>
        <w:t xml:space="preserve"> somewhat lower. The additional costs associated with the purchase of vessels and vehicles and for operation will </w:t>
      </w:r>
      <w:r w:rsidR="009625BD">
        <w:rPr>
          <w:lang w:val="en-GB"/>
        </w:rPr>
        <w:t xml:space="preserve">however </w:t>
      </w:r>
      <w:r w:rsidRPr="00592443">
        <w:rPr>
          <w:lang w:val="en-GB"/>
        </w:rPr>
        <w:t xml:space="preserve">mainly be paid for by the counties. For the already phased-in and </w:t>
      </w:r>
      <w:r w:rsidR="009625BD">
        <w:rPr>
          <w:lang w:val="en-GB"/>
        </w:rPr>
        <w:t>decided upon</w:t>
      </w:r>
      <w:r w:rsidRPr="00592443">
        <w:rPr>
          <w:lang w:val="en-GB"/>
        </w:rPr>
        <w:t xml:space="preserve"> investments, the Enova support amounts to 20</w:t>
      </w:r>
      <w:r w:rsidR="009625BD">
        <w:rPr>
          <w:lang w:val="en-GB"/>
        </w:rPr>
        <w:t xml:space="preserve"> and </w:t>
      </w:r>
      <w:r w:rsidRPr="00592443">
        <w:rPr>
          <w:lang w:val="en-GB"/>
        </w:rPr>
        <w:t>30 percent of the total additional costs</w:t>
      </w:r>
      <w:r w:rsidR="009625BD">
        <w:rPr>
          <w:lang w:val="en-GB"/>
        </w:rPr>
        <w:t>,</w:t>
      </w:r>
      <w:r w:rsidRPr="00592443">
        <w:rPr>
          <w:lang w:val="en-GB"/>
        </w:rPr>
        <w:t xml:space="preserve"> within bus and ferry respectively.</w:t>
      </w:r>
    </w:p>
    <w:p w14:paraId="5BEEB652" w14:textId="588C9505" w:rsidR="003B4FDD" w:rsidRPr="00B403A6" w:rsidRDefault="00B403A6" w:rsidP="00592443">
      <w:pPr>
        <w:rPr>
          <w:rFonts w:cstheme="minorHAnsi"/>
          <w:color w:val="212121"/>
          <w:szCs w:val="20"/>
          <w:shd w:val="clear" w:color="auto" w:fill="FFFFFF"/>
          <w:lang w:val="en-GB"/>
        </w:rPr>
      </w:pPr>
      <w:r w:rsidRPr="00CE0441">
        <w:rPr>
          <w:rFonts w:cstheme="minorHAnsi"/>
          <w:color w:val="212121"/>
          <w:szCs w:val="20"/>
          <w:shd w:val="clear" w:color="auto" w:fill="FFFFFF"/>
          <w:lang w:val="en-GB"/>
        </w:rPr>
        <w:t xml:space="preserve">There is </w:t>
      </w:r>
      <w:r>
        <w:rPr>
          <w:rFonts w:cstheme="minorHAnsi"/>
          <w:color w:val="212121"/>
          <w:szCs w:val="20"/>
          <w:shd w:val="clear" w:color="auto" w:fill="FFFFFF"/>
          <w:lang w:val="en-GB"/>
        </w:rPr>
        <w:t>considerably</w:t>
      </w:r>
      <w:r w:rsidRPr="00CE0441">
        <w:rPr>
          <w:rFonts w:cstheme="minorHAnsi"/>
          <w:color w:val="212121"/>
          <w:szCs w:val="20"/>
          <w:shd w:val="clear" w:color="auto" w:fill="FFFFFF"/>
          <w:lang w:val="en-GB"/>
        </w:rPr>
        <w:t xml:space="preserve"> uncertainty in the cost estimates. In particular, the costs of necessary </w:t>
      </w:r>
      <w:r>
        <w:rPr>
          <w:rFonts w:cstheme="minorHAnsi"/>
          <w:color w:val="212121"/>
          <w:szCs w:val="20"/>
          <w:shd w:val="clear" w:color="auto" w:fill="FFFFFF"/>
          <w:lang w:val="en-GB"/>
        </w:rPr>
        <w:t>grid</w:t>
      </w:r>
      <w:r w:rsidRPr="00CE0441">
        <w:rPr>
          <w:rFonts w:cstheme="minorHAnsi"/>
          <w:color w:val="212121"/>
          <w:szCs w:val="20"/>
          <w:shd w:val="clear" w:color="auto" w:fill="FFFFFF"/>
          <w:lang w:val="en-GB"/>
        </w:rPr>
        <w:t xml:space="preserve"> upgrades and other infrastructure investments (such as battery banks)</w:t>
      </w:r>
      <w:r>
        <w:rPr>
          <w:rFonts w:cstheme="minorHAnsi"/>
          <w:color w:val="212121"/>
          <w:szCs w:val="20"/>
          <w:shd w:val="clear" w:color="auto" w:fill="FFFFFF"/>
          <w:lang w:val="en-GB"/>
        </w:rPr>
        <w:t xml:space="preserve"> are uncertain</w:t>
      </w:r>
      <w:r w:rsidRPr="00CE0441">
        <w:rPr>
          <w:rFonts w:cstheme="minorHAnsi"/>
          <w:color w:val="212121"/>
          <w:szCs w:val="20"/>
          <w:shd w:val="clear" w:color="auto" w:fill="FFFFFF"/>
          <w:lang w:val="en-GB"/>
        </w:rPr>
        <w:t>. The count</w:t>
      </w:r>
      <w:r>
        <w:rPr>
          <w:rFonts w:cstheme="minorHAnsi"/>
          <w:color w:val="212121"/>
          <w:szCs w:val="20"/>
          <w:shd w:val="clear" w:color="auto" w:fill="FFFFFF"/>
          <w:lang w:val="en-GB"/>
        </w:rPr>
        <w:t>ies</w:t>
      </w:r>
      <w:r w:rsidRPr="00CE0441">
        <w:rPr>
          <w:rFonts w:cstheme="minorHAnsi"/>
          <w:color w:val="212121"/>
          <w:szCs w:val="20"/>
          <w:shd w:val="clear" w:color="auto" w:fill="FFFFFF"/>
          <w:lang w:val="en-GB"/>
        </w:rPr>
        <w:t xml:space="preserve"> express concern about how </w:t>
      </w:r>
      <w:r>
        <w:rPr>
          <w:rFonts w:cstheme="minorHAnsi"/>
          <w:color w:val="212121"/>
          <w:szCs w:val="20"/>
          <w:shd w:val="clear" w:color="auto" w:fill="FFFFFF"/>
          <w:lang w:val="en-GB"/>
        </w:rPr>
        <w:t xml:space="preserve">to cover </w:t>
      </w:r>
      <w:r w:rsidRPr="00CE0441">
        <w:rPr>
          <w:rFonts w:cstheme="minorHAnsi"/>
          <w:color w:val="212121"/>
          <w:szCs w:val="20"/>
          <w:shd w:val="clear" w:color="auto" w:fill="FFFFFF"/>
          <w:lang w:val="en-GB"/>
        </w:rPr>
        <w:t>the</w:t>
      </w:r>
      <w:r>
        <w:rPr>
          <w:rFonts w:cstheme="minorHAnsi"/>
          <w:color w:val="212121"/>
          <w:szCs w:val="20"/>
          <w:shd w:val="clear" w:color="auto" w:fill="FFFFFF"/>
          <w:lang w:val="en-GB"/>
        </w:rPr>
        <w:t>se</w:t>
      </w:r>
      <w:r w:rsidRPr="00CE0441">
        <w:rPr>
          <w:rFonts w:cstheme="minorHAnsi"/>
          <w:color w:val="212121"/>
          <w:szCs w:val="20"/>
          <w:shd w:val="clear" w:color="auto" w:fill="FFFFFF"/>
          <w:lang w:val="en-GB"/>
        </w:rPr>
        <w:t xml:space="preserve"> additional costs. </w:t>
      </w:r>
      <w:r w:rsidR="00592443" w:rsidRPr="00592443">
        <w:rPr>
          <w:lang w:val="en-GB"/>
        </w:rPr>
        <w:t xml:space="preserve">For not yet approved investments, there is </w:t>
      </w:r>
      <w:r w:rsidR="00781D13" w:rsidRPr="00592443">
        <w:rPr>
          <w:lang w:val="en-GB"/>
        </w:rPr>
        <w:t>uncertainty</w:t>
      </w:r>
      <w:r w:rsidR="00592443" w:rsidRPr="00592443">
        <w:rPr>
          <w:lang w:val="en-GB"/>
        </w:rPr>
        <w:t xml:space="preserve"> related to technological maturity. The projections in figure </w:t>
      </w:r>
      <w:r w:rsidR="00D61143">
        <w:rPr>
          <w:lang w:val="en-GB"/>
        </w:rPr>
        <w:t>D</w:t>
      </w:r>
      <w:r w:rsidR="00592443" w:rsidRPr="00592443">
        <w:rPr>
          <w:lang w:val="en-GB"/>
        </w:rPr>
        <w:t xml:space="preserve"> also assume that the additional costs are constant throughout each contract period. With more flexible contracts and falling costs, the additional costs can be lower.</w:t>
      </w:r>
    </w:p>
    <w:p w14:paraId="7DE9BFA3" w14:textId="77777777" w:rsidR="007063BE" w:rsidRPr="007701FE" w:rsidRDefault="007063BE" w:rsidP="007063BE">
      <w:pPr>
        <w:rPr>
          <w:lang w:val="en-GB"/>
        </w:rPr>
      </w:pPr>
    </w:p>
    <w:p w14:paraId="32257EF5" w14:textId="77777777" w:rsidR="007063BE" w:rsidRPr="007701FE" w:rsidRDefault="007063BE">
      <w:pPr>
        <w:spacing w:line="276" w:lineRule="auto"/>
        <w:jc w:val="left"/>
        <w:rPr>
          <w:rFonts w:asciiTheme="majorHAnsi" w:eastAsiaTheme="majorEastAsia" w:hAnsiTheme="majorHAnsi" w:cstheme="majorBidi"/>
          <w:b/>
          <w:color w:val="D77F16" w:themeColor="accent2"/>
          <w:sz w:val="26"/>
          <w:szCs w:val="26"/>
          <w:lang w:val="en-GB"/>
        </w:rPr>
      </w:pPr>
      <w:r w:rsidRPr="007701FE">
        <w:rPr>
          <w:lang w:val="en-GB"/>
        </w:rPr>
        <w:br w:type="page"/>
      </w:r>
    </w:p>
    <w:p w14:paraId="7EDBE366" w14:textId="2BECB071" w:rsidR="002228F4" w:rsidRPr="007701FE" w:rsidRDefault="002228F4" w:rsidP="008A3EF0">
      <w:pPr>
        <w:rPr>
          <w:lang w:val="en-GB"/>
        </w:rPr>
        <w:sectPr w:rsidR="002228F4" w:rsidRPr="007701FE" w:rsidSect="00E73DCD">
          <w:headerReference w:type="first" r:id="rId19"/>
          <w:footerReference w:type="first" r:id="rId20"/>
          <w:pgSz w:w="11906" w:h="16838"/>
          <w:pgMar w:top="1418" w:right="1418" w:bottom="1418" w:left="1418" w:header="709" w:footer="284" w:gutter="0"/>
          <w:pgNumType w:start="0"/>
          <w:cols w:space="708"/>
          <w:titlePg/>
          <w:docGrid w:linePitch="360"/>
        </w:sectPr>
      </w:pPr>
    </w:p>
    <w:p w14:paraId="1F5F7BA2" w14:textId="5C8D4633" w:rsidR="00162F0C" w:rsidRPr="007701FE" w:rsidRDefault="00162F0C" w:rsidP="00D11AD4">
      <w:pPr>
        <w:spacing w:line="276" w:lineRule="auto"/>
        <w:jc w:val="left"/>
        <w:rPr>
          <w:rFonts w:asciiTheme="majorHAnsi" w:eastAsiaTheme="majorEastAsia" w:hAnsiTheme="majorHAnsi" w:cstheme="majorBidi"/>
          <w:b/>
          <w:color w:val="D77F16" w:themeColor="accent2"/>
          <w:sz w:val="26"/>
          <w:szCs w:val="26"/>
          <w:lang w:val="en-GB"/>
        </w:rPr>
      </w:pPr>
    </w:p>
    <w:p w14:paraId="7B61ECFB" w14:textId="77777777" w:rsidR="002A179A" w:rsidRPr="007701FE" w:rsidRDefault="002A179A">
      <w:pPr>
        <w:spacing w:line="276" w:lineRule="auto"/>
        <w:jc w:val="left"/>
        <w:rPr>
          <w:lang w:val="en-GB"/>
        </w:rPr>
      </w:pPr>
    </w:p>
    <w:p w14:paraId="76CD5C61" w14:textId="77777777" w:rsidR="0073307D" w:rsidRPr="007701FE" w:rsidRDefault="002A179A" w:rsidP="00AE1CFA">
      <w:pPr>
        <w:rPr>
          <w:lang w:val="en-GB"/>
        </w:rPr>
      </w:pPr>
      <w:r w:rsidRPr="007701FE">
        <w:rPr>
          <w:noProof/>
          <w:lang w:val="en-GB" w:eastAsia="nb-NO"/>
        </w:rPr>
        <w:drawing>
          <wp:anchor distT="0" distB="0" distL="114300" distR="114300" simplePos="0" relativeHeight="251658246" behindDoc="0" locked="0" layoutInCell="1" allowOverlap="1" wp14:anchorId="0E23F859" wp14:editId="14FB3764">
            <wp:simplePos x="0" y="0"/>
            <wp:positionH relativeFrom="column">
              <wp:posOffset>2147570</wp:posOffset>
            </wp:positionH>
            <wp:positionV relativeFrom="page">
              <wp:posOffset>576580</wp:posOffset>
            </wp:positionV>
            <wp:extent cx="1397635" cy="393514"/>
            <wp:effectExtent l="0" t="0" r="0" b="0"/>
            <wp:wrapNone/>
            <wp:docPr id="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NON-dummybilde.png"/>
                    <pic:cNvPicPr/>
                  </pic:nvPicPr>
                  <pic:blipFill>
                    <a:blip r:embed="rId21">
                      <a:extLst>
                        <a:ext uri="{28A0092B-C50C-407E-A947-70E740481C1C}">
                          <a14:useLocalDpi xmlns:a14="http://schemas.microsoft.com/office/drawing/2010/main" val="0"/>
                        </a:ext>
                      </a:extLst>
                    </a:blip>
                    <a:stretch>
                      <a:fillRect/>
                    </a:stretch>
                  </pic:blipFill>
                  <pic:spPr>
                    <a:xfrm>
                      <a:off x="0" y="0"/>
                      <a:ext cx="1397635" cy="393514"/>
                    </a:xfrm>
                    <a:prstGeom prst="rect">
                      <a:avLst/>
                    </a:prstGeom>
                  </pic:spPr>
                </pic:pic>
              </a:graphicData>
            </a:graphic>
            <wp14:sizeRelH relativeFrom="margin">
              <wp14:pctWidth>0</wp14:pctWidth>
            </wp14:sizeRelH>
            <wp14:sizeRelV relativeFrom="margin">
              <wp14:pctHeight>0</wp14:pctHeight>
            </wp14:sizeRelV>
          </wp:anchor>
        </w:drawing>
      </w:r>
      <w:r w:rsidR="002626B3" w:rsidRPr="007701FE">
        <w:rPr>
          <w:lang w:val="en-GB"/>
        </w:rPr>
        <w:t xml:space="preserve"> </w:t>
      </w:r>
    </w:p>
    <w:p w14:paraId="3F5DF78A" w14:textId="77777777" w:rsidR="0073307D" w:rsidRPr="007701FE" w:rsidRDefault="0073307D" w:rsidP="00AE1CFA">
      <w:pPr>
        <w:rPr>
          <w:lang w:val="en-GB"/>
        </w:rPr>
      </w:pPr>
    </w:p>
    <w:p w14:paraId="12EE3E2E" w14:textId="77777777" w:rsidR="0073307D" w:rsidRPr="007701FE" w:rsidRDefault="0073307D" w:rsidP="00AE1CFA">
      <w:pPr>
        <w:rPr>
          <w:lang w:val="en-GB"/>
        </w:rPr>
      </w:pPr>
    </w:p>
    <w:p w14:paraId="58D42468" w14:textId="77777777" w:rsidR="0073307D" w:rsidRPr="007701FE" w:rsidRDefault="0073307D" w:rsidP="00AE1CFA">
      <w:pPr>
        <w:rPr>
          <w:lang w:val="en-GB"/>
        </w:rPr>
      </w:pPr>
    </w:p>
    <w:p w14:paraId="5D857E60" w14:textId="77777777" w:rsidR="0073307D" w:rsidRPr="007701FE" w:rsidRDefault="0073307D" w:rsidP="00AE1CFA">
      <w:pPr>
        <w:rPr>
          <w:lang w:val="en-GB"/>
        </w:rPr>
      </w:pPr>
    </w:p>
    <w:p w14:paraId="654E057C" w14:textId="77777777" w:rsidR="0073307D" w:rsidRPr="007701FE" w:rsidRDefault="0073307D" w:rsidP="00AE1CFA">
      <w:pPr>
        <w:rPr>
          <w:lang w:val="en-GB"/>
        </w:rPr>
      </w:pPr>
    </w:p>
    <w:p w14:paraId="7D35535D" w14:textId="77777777" w:rsidR="0073307D" w:rsidRPr="007701FE" w:rsidRDefault="0073307D" w:rsidP="00AE1CFA">
      <w:pPr>
        <w:rPr>
          <w:lang w:val="en-GB"/>
        </w:rPr>
      </w:pPr>
    </w:p>
    <w:p w14:paraId="01CC1784" w14:textId="77777777" w:rsidR="0073307D" w:rsidRPr="007701FE" w:rsidRDefault="0073307D" w:rsidP="00AE1CFA">
      <w:pPr>
        <w:rPr>
          <w:lang w:val="en-GB"/>
        </w:rPr>
      </w:pPr>
    </w:p>
    <w:p w14:paraId="0DAED8D4" w14:textId="77777777" w:rsidR="0073307D" w:rsidRPr="007701FE" w:rsidRDefault="002626B3" w:rsidP="00AE1CFA">
      <w:pPr>
        <w:rPr>
          <w:lang w:val="en-GB"/>
        </w:rPr>
      </w:pPr>
      <w:r w:rsidRPr="007701FE">
        <w:rPr>
          <w:noProof/>
          <w:lang w:val="en-GB" w:eastAsia="nb-NO"/>
        </w:rPr>
        <w:drawing>
          <wp:anchor distT="0" distB="0" distL="114300" distR="114300" simplePos="0" relativeHeight="251658243" behindDoc="0" locked="0" layoutInCell="1" allowOverlap="1" wp14:anchorId="0488AEA1" wp14:editId="0AA00BEA">
            <wp:simplePos x="0" y="0"/>
            <wp:positionH relativeFrom="column">
              <wp:posOffset>-645160</wp:posOffset>
            </wp:positionH>
            <wp:positionV relativeFrom="page">
              <wp:posOffset>3665855</wp:posOffset>
            </wp:positionV>
            <wp:extent cx="6982460" cy="4447540"/>
            <wp:effectExtent l="0" t="0" r="2540" b="0"/>
            <wp:wrapNone/>
            <wp:docPr id="13"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NON-dummybilde.png"/>
                    <pic:cNvPicPr/>
                  </pic:nvPicPr>
                  <pic:blipFill>
                    <a:blip r:embed="rId22">
                      <a:extLst>
                        <a:ext uri="{28A0092B-C50C-407E-A947-70E740481C1C}">
                          <a14:useLocalDpi xmlns:a14="http://schemas.microsoft.com/office/drawing/2010/main" val="0"/>
                        </a:ext>
                      </a:extLst>
                    </a:blip>
                    <a:stretch>
                      <a:fillRect/>
                    </a:stretch>
                  </pic:blipFill>
                  <pic:spPr>
                    <a:xfrm>
                      <a:off x="0" y="0"/>
                      <a:ext cx="6982460" cy="4447540"/>
                    </a:xfrm>
                    <a:prstGeom prst="rect">
                      <a:avLst/>
                    </a:prstGeom>
                  </pic:spPr>
                </pic:pic>
              </a:graphicData>
            </a:graphic>
            <wp14:sizeRelH relativeFrom="margin">
              <wp14:pctWidth>0</wp14:pctWidth>
            </wp14:sizeRelH>
            <wp14:sizeRelV relativeFrom="margin">
              <wp14:pctHeight>0</wp14:pctHeight>
            </wp14:sizeRelV>
          </wp:anchor>
        </w:drawing>
      </w:r>
    </w:p>
    <w:p w14:paraId="07C10780" w14:textId="77777777" w:rsidR="0073307D" w:rsidRPr="007701FE" w:rsidRDefault="00826ED8" w:rsidP="0077769F">
      <w:pPr>
        <w:spacing w:line="276" w:lineRule="auto"/>
        <w:jc w:val="left"/>
        <w:rPr>
          <w:lang w:val="en-GB"/>
        </w:rPr>
      </w:pPr>
      <w:r w:rsidRPr="007701FE">
        <w:rPr>
          <w:noProof/>
          <w:lang w:val="en-GB" w:eastAsia="nb-NO"/>
        </w:rPr>
        <mc:AlternateContent>
          <mc:Choice Requires="wps">
            <w:drawing>
              <wp:anchor distT="0" distB="0" distL="114300" distR="114300" simplePos="0" relativeHeight="251658248" behindDoc="0" locked="0" layoutInCell="1" allowOverlap="1" wp14:anchorId="38F5D70A" wp14:editId="4A477BF7">
                <wp:simplePos x="0" y="0"/>
                <wp:positionH relativeFrom="column">
                  <wp:posOffset>889000</wp:posOffset>
                </wp:positionH>
                <wp:positionV relativeFrom="paragraph">
                  <wp:posOffset>6142355</wp:posOffset>
                </wp:positionV>
                <wp:extent cx="3957320" cy="342900"/>
                <wp:effectExtent l="0" t="0" r="0" b="12700"/>
                <wp:wrapSquare wrapText="bothSides"/>
                <wp:docPr id="1" name="Tekstboks 1"/>
                <wp:cNvGraphicFramePr/>
                <a:graphic xmlns:a="http://schemas.openxmlformats.org/drawingml/2006/main">
                  <a:graphicData uri="http://schemas.microsoft.com/office/word/2010/wordprocessingShape">
                    <wps:wsp>
                      <wps:cNvSpPr txBox="1"/>
                      <wps:spPr>
                        <a:xfrm>
                          <a:off x="0" y="0"/>
                          <a:ext cx="3957320" cy="342900"/>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56354D" w14:textId="77777777" w:rsidR="008176AA" w:rsidRPr="00826ED8" w:rsidRDefault="008176AA" w:rsidP="00826ED8">
                            <w:pPr>
                              <w:pStyle w:val="Grunnleggendeavsnitt"/>
                              <w:jc w:val="center"/>
                              <w:rPr>
                                <w:rFonts w:ascii="Calibri" w:hAnsi="Calibri" w:cs="Calibri-Light"/>
                                <w:w w:val="92"/>
                                <w:sz w:val="19"/>
                                <w:szCs w:val="19"/>
                              </w:rPr>
                            </w:pPr>
                            <w:r w:rsidRPr="00826ED8">
                              <w:rPr>
                                <w:rFonts w:ascii="Calibri" w:hAnsi="Calibri" w:cs="Calibri-Light"/>
                                <w:w w:val="92"/>
                                <w:sz w:val="19"/>
                                <w:szCs w:val="19"/>
                              </w:rPr>
                              <w:t>+</w:t>
                            </w:r>
                            <w:r>
                              <w:rPr>
                                <w:rFonts w:ascii="Calibri" w:hAnsi="Calibri" w:cs="Calibri-Light"/>
                                <w:w w:val="92"/>
                                <w:sz w:val="19"/>
                                <w:szCs w:val="19"/>
                              </w:rPr>
                              <w:t xml:space="preserve">47 909 90 102  |  </w:t>
                            </w:r>
                            <w:r w:rsidRPr="00826ED8">
                              <w:rPr>
                                <w:rFonts w:ascii="Calibri" w:hAnsi="Calibri" w:cs="Calibri-Light"/>
                                <w:w w:val="92"/>
                                <w:sz w:val="19"/>
                                <w:szCs w:val="19"/>
                              </w:rPr>
                              <w:t>post@menon.no  |  Sørkedalsveien 10 B, 0369 Oslo  |  menon.no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F5D70A" id="Tekstboks 1" o:spid="_x0000_s1028" type="#_x0000_t202" style="position:absolute;margin-left:70pt;margin-top:483.65pt;width:311.6pt;height:27pt;z-index:2516582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" filled="f" stroked="f">
                <v:textbox>
                  <w:txbxContent>
                    <w:p w14:paraId="0E56354D" w14:textId="77777777" w:rsidR="008176AA" w:rsidRPr="00826ED8" w:rsidRDefault="008176AA" w:rsidP="00826ED8">
                      <w:pPr>
                        <w:pStyle w:val="Grunnleggendeavsnitt"/>
                        <w:jc w:val="center"/>
                        <w:rPr>
                          <w:rFonts w:ascii="Calibri" w:hAnsi="Calibri" w:cs="Calibri-Light"/>
                          <w:w w:val="92"/>
                          <w:sz w:val="19"/>
                          <w:szCs w:val="19"/>
                        </w:rPr>
                      </w:pPr>
                      <w:r w:rsidRPr="00826ED8">
                        <w:rPr>
                          <w:rFonts w:ascii="Calibri" w:hAnsi="Calibri" w:cs="Calibri-Light"/>
                          <w:w w:val="92"/>
                          <w:sz w:val="19"/>
                          <w:szCs w:val="19"/>
                        </w:rPr>
                        <w:t>+</w:t>
                      </w:r>
                      <w:r>
                        <w:rPr>
                          <w:rFonts w:ascii="Calibri" w:hAnsi="Calibri" w:cs="Calibri-Light"/>
                          <w:w w:val="92"/>
                          <w:sz w:val="19"/>
                          <w:szCs w:val="19"/>
                        </w:rPr>
                        <w:t xml:space="preserve">47 909 90 102  |  </w:t>
                      </w:r>
                      <w:r w:rsidRPr="00826ED8">
                        <w:rPr>
                          <w:rFonts w:ascii="Calibri" w:hAnsi="Calibri" w:cs="Calibri-Light"/>
                          <w:w w:val="92"/>
                          <w:sz w:val="19"/>
                          <w:szCs w:val="19"/>
                        </w:rPr>
                        <w:t>post@menon.no  |  Sørkedalsveien 10 B, 0369 Oslo  |  menon.no</w:t>
                      </w:r>
                    </w:p>
                  </w:txbxContent>
                </v:textbox>
                <w10:wrap type="square"/>
              </v:shape>
            </w:pict>
          </mc:Fallback>
        </mc:AlternateContent>
      </w:r>
      <w:r w:rsidR="002626B3" w:rsidRPr="007701FE">
        <w:rPr>
          <w:noProof/>
          <w:lang w:val="en-GB" w:eastAsia="nb-NO"/>
        </w:rPr>
        <mc:AlternateContent>
          <mc:Choice Requires="wps">
            <w:drawing>
              <wp:anchor distT="0" distB="0" distL="114300" distR="114300" simplePos="0" relativeHeight="251658245" behindDoc="0" locked="0" layoutInCell="1" allowOverlap="1" wp14:anchorId="336B8AB3" wp14:editId="3FB4B1F2">
                <wp:simplePos x="0" y="0"/>
                <wp:positionH relativeFrom="column">
                  <wp:posOffset>-33655</wp:posOffset>
                </wp:positionH>
                <wp:positionV relativeFrom="paragraph">
                  <wp:posOffset>4685570</wp:posOffset>
                </wp:positionV>
                <wp:extent cx="5759450" cy="1472565"/>
                <wp:effectExtent l="0" t="0" r="0" b="635"/>
                <wp:wrapSquare wrapText="bothSides"/>
                <wp:docPr id="16" name="Tekstboks 16"/>
                <wp:cNvGraphicFramePr/>
                <a:graphic xmlns:a="http://schemas.openxmlformats.org/drawingml/2006/main">
                  <a:graphicData uri="http://schemas.microsoft.com/office/word/2010/wordprocessingShape">
                    <wps:wsp>
                      <wps:cNvSpPr txBox="1"/>
                      <wps:spPr>
                        <a:xfrm>
                          <a:off x="0" y="0"/>
                          <a:ext cx="5759450" cy="147256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E7FEB4C" w14:textId="77777777" w:rsidR="008176AA" w:rsidRPr="00826ED8" w:rsidRDefault="008176AA" w:rsidP="002A179A">
                            <w:pPr>
                              <w:pStyle w:val="Grunnleggendeavsnitt"/>
                              <w:jc w:val="center"/>
                              <w:rPr>
                                <w:rFonts w:ascii="Calibri" w:hAnsi="Calibri" w:cs="Calibri-Light"/>
                                <w:w w:val="92"/>
                                <w:sz w:val="19"/>
                                <w:szCs w:val="19"/>
                              </w:rPr>
                            </w:pPr>
                            <w:r w:rsidRPr="00826ED8">
                              <w:rPr>
                                <w:rFonts w:ascii="Calibri" w:hAnsi="Calibri" w:cs="Calibri-Light"/>
                                <w:w w:val="92"/>
                                <w:sz w:val="19"/>
                                <w:szCs w:val="19"/>
                              </w:rPr>
                              <w:t xml:space="preserve">Menon Economics analyserer økonomiske problemstillinger og gir råd til bedrifter, organisasjoner og myndigheter. </w:t>
                            </w:r>
                            <w:r w:rsidRPr="00826ED8">
                              <w:rPr>
                                <w:rFonts w:ascii="Calibri" w:hAnsi="Calibri" w:cs="Calibri-Light"/>
                                <w:w w:val="92"/>
                                <w:sz w:val="19"/>
                                <w:szCs w:val="19"/>
                              </w:rPr>
                              <w:br/>
                              <w:t xml:space="preserve">Vi er et medarbeidereiet konsulentselskap som opererer i grenseflatene mellom økonomi, politikk og marked. </w:t>
                            </w:r>
                            <w:r w:rsidRPr="00826ED8">
                              <w:rPr>
                                <w:rFonts w:ascii="Calibri" w:hAnsi="Calibri" w:cs="Calibri-Light"/>
                                <w:w w:val="92"/>
                                <w:sz w:val="19"/>
                                <w:szCs w:val="19"/>
                              </w:rPr>
                              <w:br/>
                              <w:t xml:space="preserve">Menon kombinerer samfunns- og bedriftsøkonomisk kompetanse innenfor fagfelt som samfunnsøkonomisk </w:t>
                            </w:r>
                            <w:r w:rsidRPr="00826ED8">
                              <w:rPr>
                                <w:rFonts w:ascii="Calibri" w:hAnsi="Calibri" w:cs="Calibri-Light"/>
                                <w:w w:val="92"/>
                                <w:sz w:val="19"/>
                                <w:szCs w:val="19"/>
                              </w:rPr>
                              <w:br/>
                              <w:t>lønnsomhet, verdsetting, nærings- og konkurranseøkonomi, strategi, finans og organisasjonsdesign.</w:t>
                            </w:r>
                            <w:r w:rsidRPr="00826ED8">
                              <w:rPr>
                                <w:rFonts w:ascii="Calibri" w:hAnsi="Calibri" w:cs="Times New Roman"/>
                                <w:w w:val="92"/>
                                <w:sz w:val="19"/>
                                <w:szCs w:val="19"/>
                              </w:rPr>
                              <w:t> </w:t>
                            </w:r>
                            <w:r w:rsidRPr="00826ED8">
                              <w:rPr>
                                <w:rFonts w:ascii="Calibri" w:hAnsi="Calibri" w:cs="Calibri-Light"/>
                                <w:w w:val="92"/>
                                <w:sz w:val="19"/>
                                <w:szCs w:val="19"/>
                              </w:rPr>
                              <w:t xml:space="preserve">Vi benytter forskningsbaserte metoder i våre analyser og jobber tett med ledende akademiske miljøer innenfor de fleste </w:t>
                            </w:r>
                            <w:r w:rsidRPr="00826ED8">
                              <w:rPr>
                                <w:rFonts w:ascii="Calibri" w:hAnsi="Calibri" w:cs="Calibri-Light"/>
                                <w:w w:val="92"/>
                                <w:sz w:val="19"/>
                                <w:szCs w:val="19"/>
                              </w:rPr>
                              <w:br/>
                              <w:t>fagfelt. Alle offentlige rapporter fra Menon er tilgjengelige på vår hjemmeside www.menon.no.</w:t>
                            </w:r>
                          </w:p>
                          <w:p w14:paraId="0C72CB48" w14:textId="77777777" w:rsidR="008176AA" w:rsidRDefault="008176AA" w:rsidP="002A179A">
                            <w:pPr>
                              <w:jc w:val="cente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36B8AB3" id="Tekstboks 16" o:spid="_x0000_s1029" type="#_x0000_t202" style="position:absolute;margin-left:-2.65pt;margin-top:368.95pt;width:453.5pt;height:115.95pt;z-index:251658245;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" filled="f" stroked="f">
                <v:textbox style="mso-fit-shape-to-text:t">
                  <w:txbxContent>
                    <w:p w14:paraId="7E7FEB4C" w14:textId="77777777" w:rsidR="008176AA" w:rsidRPr="00826ED8" w:rsidRDefault="008176AA" w:rsidP="002A179A">
                      <w:pPr>
                        <w:pStyle w:val="Grunnleggendeavsnitt"/>
                        <w:jc w:val="center"/>
                        <w:rPr>
                          <w:rFonts w:ascii="Calibri" w:hAnsi="Calibri" w:cs="Calibri-Light"/>
                          <w:w w:val="92"/>
                          <w:sz w:val="19"/>
                          <w:szCs w:val="19"/>
                        </w:rPr>
                      </w:pPr>
                      <w:r w:rsidRPr="00826ED8">
                        <w:rPr>
                          <w:rFonts w:ascii="Calibri" w:hAnsi="Calibri" w:cs="Calibri-Light"/>
                          <w:w w:val="92"/>
                          <w:sz w:val="19"/>
                          <w:szCs w:val="19"/>
                        </w:rPr>
                        <w:t xml:space="preserve">Menon Economics analyserer økonomiske problemstillinger og gir råd til bedrifter, organisasjoner og myndigheter. </w:t>
                      </w:r>
                      <w:r w:rsidRPr="00826ED8">
                        <w:rPr>
                          <w:rFonts w:ascii="Calibri" w:hAnsi="Calibri" w:cs="Calibri-Light"/>
                          <w:w w:val="92"/>
                          <w:sz w:val="19"/>
                          <w:szCs w:val="19"/>
                        </w:rPr>
                        <w:br/>
                        <w:t xml:space="preserve">Vi er et medarbeidereiet konsulentselskap som opererer i grenseflatene mellom økonomi, politikk og marked. </w:t>
                      </w:r>
                      <w:r w:rsidRPr="00826ED8">
                        <w:rPr>
                          <w:rFonts w:ascii="Calibri" w:hAnsi="Calibri" w:cs="Calibri-Light"/>
                          <w:w w:val="92"/>
                          <w:sz w:val="19"/>
                          <w:szCs w:val="19"/>
                        </w:rPr>
                        <w:br/>
                        <w:t xml:space="preserve">Menon kombinerer samfunns- og bedriftsøkonomisk kompetanse innenfor fagfelt som samfunnsøkonomisk </w:t>
                      </w:r>
                      <w:r w:rsidRPr="00826ED8">
                        <w:rPr>
                          <w:rFonts w:ascii="Calibri" w:hAnsi="Calibri" w:cs="Calibri-Light"/>
                          <w:w w:val="92"/>
                          <w:sz w:val="19"/>
                          <w:szCs w:val="19"/>
                        </w:rPr>
                        <w:br/>
                        <w:t>lønnsomhet, verdsetting, nærings- og konkurranseøkonomi, strategi, finans og organisasjonsdesign.</w:t>
                      </w:r>
                      <w:r w:rsidRPr="00826ED8">
                        <w:rPr>
                          <w:rFonts w:ascii="Calibri" w:hAnsi="Calibri" w:cs="Times New Roman"/>
                          <w:w w:val="92"/>
                          <w:sz w:val="19"/>
                          <w:szCs w:val="19"/>
                        </w:rPr>
                        <w:t> </w:t>
                      </w:r>
                      <w:r w:rsidRPr="00826ED8">
                        <w:rPr>
                          <w:rFonts w:ascii="Calibri" w:hAnsi="Calibri" w:cs="Calibri-Light"/>
                          <w:w w:val="92"/>
                          <w:sz w:val="19"/>
                          <w:szCs w:val="19"/>
                        </w:rPr>
                        <w:t xml:space="preserve">Vi benytter forskningsbaserte metoder i våre analyser og jobber tett med ledende akademiske miljøer innenfor de fleste </w:t>
                      </w:r>
                      <w:r w:rsidRPr="00826ED8">
                        <w:rPr>
                          <w:rFonts w:ascii="Calibri" w:hAnsi="Calibri" w:cs="Calibri-Light"/>
                          <w:w w:val="92"/>
                          <w:sz w:val="19"/>
                          <w:szCs w:val="19"/>
                        </w:rPr>
                        <w:br/>
                        <w:t>fagfelt. Alle offentlige rapporter fra Menon er tilgjengelige på vår hjemmeside www.menon.no.</w:t>
                      </w:r>
                    </w:p>
                    <w:p w14:paraId="0C72CB48" w14:textId="77777777" w:rsidR="008176AA" w:rsidRDefault="008176AA" w:rsidP="002A179A">
                      <w:pPr>
                        <w:jc w:val="center"/>
                      </w:pPr>
                    </w:p>
                  </w:txbxContent>
                </v:textbox>
                <w10:wrap type="square"/>
              </v:shape>
            </w:pict>
          </mc:Fallback>
        </mc:AlternateContent>
      </w:r>
      <w:r w:rsidR="002626B3" w:rsidRPr="007701FE">
        <w:rPr>
          <w:noProof/>
          <w:lang w:val="en-GB" w:eastAsia="nb-NO"/>
        </w:rPr>
        <mc:AlternateContent>
          <mc:Choice Requires="wps">
            <w:drawing>
              <wp:anchor distT="0" distB="0" distL="114300" distR="114300" simplePos="0" relativeHeight="251658247" behindDoc="0" locked="0" layoutInCell="1" allowOverlap="1" wp14:anchorId="121B5E3E" wp14:editId="3EFB3562">
                <wp:simplePos x="0" y="0"/>
                <wp:positionH relativeFrom="column">
                  <wp:posOffset>-233680</wp:posOffset>
                </wp:positionH>
                <wp:positionV relativeFrom="paragraph">
                  <wp:posOffset>6045200</wp:posOffset>
                </wp:positionV>
                <wp:extent cx="6159500" cy="0"/>
                <wp:effectExtent l="0" t="0" r="12700" b="25400"/>
                <wp:wrapNone/>
                <wp:docPr id="18" name="Rett linje 18"/>
                <wp:cNvGraphicFramePr/>
                <a:graphic xmlns:a="http://schemas.openxmlformats.org/drawingml/2006/main">
                  <a:graphicData uri="http://schemas.microsoft.com/office/word/2010/wordprocessingShape">
                    <wps:wsp>
                      <wps:cNvCnPr/>
                      <wps:spPr>
                        <a:xfrm>
                          <a:off x="0" y="0"/>
                          <a:ext cx="6159500" cy="0"/>
                        </a:xfrm>
                        <a:prstGeom prst="line">
                          <a:avLst/>
                        </a:prstGeom>
                        <a:ln w="6350">
                          <a:solidFill>
                            <a:schemeClr val="bg1">
                              <a:lumMod val="75000"/>
                            </a:schemeClr>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EAD25EE" id="Rett linje 18" o:spid="_x0000_s1026" style="position:absolute;z-index:251658247;visibility:visible;mso-wrap-style:square;mso-wrap-distance-left:9pt;mso-wrap-distance-top:0;mso-wrap-distance-right:9pt;mso-wrap-distance-bottom:0;mso-position-horizontal:absolute;mso-position-horizontal-relative:text;mso-position-vertical:absolute;mso-position-vertical-relative:text" from="-18.4pt,476pt" to="466.6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" strokecolor="#bfbfbf [2412]" strokeweight=".5pt"/>
            </w:pict>
          </mc:Fallback>
        </mc:AlternateContent>
      </w:r>
      <w:r w:rsidR="002626B3" w:rsidRPr="007701FE">
        <w:rPr>
          <w:noProof/>
          <w:lang w:val="en-GB" w:eastAsia="nb-NO"/>
        </w:rPr>
        <mc:AlternateContent>
          <mc:Choice Requires="wps">
            <w:drawing>
              <wp:anchor distT="0" distB="0" distL="114300" distR="114300" simplePos="0" relativeHeight="251658244" behindDoc="0" locked="0" layoutInCell="1" allowOverlap="1" wp14:anchorId="463BC7AB" wp14:editId="7E67C781">
                <wp:simplePos x="0" y="0"/>
                <wp:positionH relativeFrom="column">
                  <wp:posOffset>-646430</wp:posOffset>
                </wp:positionH>
                <wp:positionV relativeFrom="paragraph">
                  <wp:posOffset>4441190</wp:posOffset>
                </wp:positionV>
                <wp:extent cx="6985635" cy="2171065"/>
                <wp:effectExtent l="50800" t="0" r="50165" b="89535"/>
                <wp:wrapThrough wrapText="bothSides">
                  <wp:wrapPolygon edited="0">
                    <wp:start x="-157" y="0"/>
                    <wp:lineTo x="-157" y="22238"/>
                    <wp:lineTo x="21677" y="22238"/>
                    <wp:lineTo x="21677" y="0"/>
                    <wp:lineTo x="-157" y="0"/>
                  </wp:wrapPolygon>
                </wp:wrapThrough>
                <wp:docPr id="15" name="Rektangel 15"/>
                <wp:cNvGraphicFramePr/>
                <a:graphic xmlns:a="http://schemas.openxmlformats.org/drawingml/2006/main">
                  <a:graphicData uri="http://schemas.microsoft.com/office/word/2010/wordprocessingShape">
                    <wps:wsp>
                      <wps:cNvSpPr/>
                      <wps:spPr>
                        <a:xfrm>
                          <a:off x="0" y="0"/>
                          <a:ext cx="6985635" cy="2171065"/>
                        </a:xfrm>
                        <a:prstGeom prst="rect">
                          <a:avLst/>
                        </a:prstGeom>
                        <a:solidFill>
                          <a:schemeClr val="bg1">
                            <a:lumMod val="95000"/>
                          </a:schemeClr>
                        </a:solidFill>
                        <a:ln>
                          <a:noFill/>
                        </a:ln>
                        <a:effectLst>
                          <a:outerShdw blurRad="50800" dist="50800" dir="5400000" algn="ctr" rotWithShape="0">
                            <a:schemeClr val="bg1"/>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62EE71" id="Rektangel 15" o:spid="_x0000_s1026" style="position:absolute;margin-left:-50.9pt;margin-top:349.7pt;width:550.05pt;height:170.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" fillcolor="#f2f2f2 [3052]" stroked="f">
                <v:shadow on="t" color="white [3212]" offset="0,4pt"/>
                <w10:wrap type="through"/>
              </v:rect>
            </w:pict>
          </mc:Fallback>
        </mc:AlternateContent>
      </w:r>
      <w:r w:rsidR="002626B3" w:rsidRPr="007701FE">
        <w:rPr>
          <w:lang w:val="en-GB"/>
        </w:rPr>
        <w:t xml:space="preserve"> </w:t>
      </w:r>
      <w:r w:rsidRPr="007701FE">
        <w:rPr>
          <w:lang w:val="en-GB"/>
        </w:rPr>
        <w:t>T</w:t>
      </w:r>
    </w:p>
    <w:sectPr w:rsidR="0073307D" w:rsidRPr="007701FE" w:rsidSect="00E73DCD">
      <w:headerReference w:type="first" r:id="rId23"/>
      <w:footerReference w:type="first" r:id="rId24"/>
      <w:pgSz w:w="11906" w:h="16838"/>
      <w:pgMar w:top="1418" w:right="1418" w:bottom="1418" w:left="1418" w:header="709" w:footer="28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1A76BB" w14:textId="77777777" w:rsidR="0021500E" w:rsidRDefault="0021500E" w:rsidP="00AE1CFA">
      <w:r>
        <w:separator/>
      </w:r>
    </w:p>
  </w:endnote>
  <w:endnote w:type="continuationSeparator" w:id="0">
    <w:p w14:paraId="080DD199" w14:textId="77777777" w:rsidR="0021500E" w:rsidRDefault="0021500E" w:rsidP="00AE1CFA">
      <w:r>
        <w:continuationSeparator/>
      </w:r>
    </w:p>
  </w:endnote>
  <w:endnote w:type="continuationNotice" w:id="1">
    <w:p w14:paraId="36BBFF3C" w14:textId="77777777" w:rsidR="0021500E" w:rsidRDefault="002150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Light">
    <w:altName w:val="Calibri Light"/>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bottom w:val="none" w:sz="0" w:space="0" w:color="auto"/>
        <w:insideH w:val="none" w:sz="0" w:space="0" w:color="auto"/>
      </w:tblBorders>
      <w:tblLayout w:type="fixed"/>
      <w:tblLook w:val="04A0" w:firstRow="1" w:lastRow="0" w:firstColumn="1" w:lastColumn="0" w:noHBand="0" w:noVBand="1"/>
    </w:tblPr>
    <w:tblGrid>
      <w:gridCol w:w="4990"/>
      <w:gridCol w:w="3088"/>
      <w:gridCol w:w="987"/>
    </w:tblGrid>
    <w:tr w:rsidR="008176AA" w:rsidRPr="004068F8" w14:paraId="5D1F2C41" w14:textId="77777777" w:rsidTr="00CC3E8D">
      <w:trPr>
        <w:cnfStyle w:val="100000000000" w:firstRow="1" w:lastRow="0" w:firstColumn="0" w:lastColumn="0" w:oddVBand="0" w:evenVBand="0" w:oddHBand="0" w:evenHBand="0" w:firstRowFirstColumn="0" w:firstRowLastColumn="0" w:lastRowFirstColumn="0" w:lastRowLastColumn="0"/>
        <w:trHeight w:hRule="exact" w:val="170"/>
      </w:trPr>
      <w:tc>
        <w:tcPr>
          <w:tcW w:w="4990" w:type="dxa"/>
          <w:tcBorders>
            <w:top w:val="single" w:sz="4" w:space="0" w:color="D77F16" w:themeColor="accent2"/>
            <w:left w:val="none" w:sz="0" w:space="0" w:color="auto"/>
            <w:bottom w:val="single" w:sz="4" w:space="0" w:color="FFFFFF" w:themeColor="background1"/>
            <w:right w:val="none" w:sz="0" w:space="0" w:color="auto"/>
            <w:tl2br w:val="none" w:sz="0" w:space="0" w:color="auto"/>
            <w:tr2bl w:val="none" w:sz="0" w:space="0" w:color="auto"/>
          </w:tcBorders>
        </w:tcPr>
        <w:p w14:paraId="3713791D" w14:textId="77777777" w:rsidR="008176AA" w:rsidRPr="004068F8" w:rsidRDefault="008176AA" w:rsidP="00AE1CFA">
          <w:pPr>
            <w:rPr>
              <w:lang w:val="fr-CA"/>
            </w:rPr>
          </w:pPr>
        </w:p>
      </w:tc>
      <w:tc>
        <w:tcPr>
          <w:tcW w:w="3088" w:type="dxa"/>
          <w:tcBorders>
            <w:top w:val="single" w:sz="4" w:space="0" w:color="D77F16" w:themeColor="accent2"/>
            <w:left w:val="none" w:sz="0" w:space="0" w:color="auto"/>
            <w:bottom w:val="single" w:sz="4" w:space="0" w:color="FFFFFF" w:themeColor="background1"/>
            <w:right w:val="none" w:sz="0" w:space="0" w:color="auto"/>
            <w:tl2br w:val="none" w:sz="0" w:space="0" w:color="auto"/>
            <w:tr2bl w:val="none" w:sz="0" w:space="0" w:color="auto"/>
          </w:tcBorders>
        </w:tcPr>
        <w:p w14:paraId="011A14DF" w14:textId="77777777" w:rsidR="008176AA" w:rsidRPr="004068F8" w:rsidRDefault="008176AA" w:rsidP="00AE1CFA">
          <w:pPr>
            <w:rPr>
              <w:lang w:val="fr-CA"/>
            </w:rPr>
          </w:pPr>
        </w:p>
      </w:tc>
      <w:tc>
        <w:tcPr>
          <w:tcW w:w="987" w:type="dxa"/>
          <w:tcBorders>
            <w:top w:val="single" w:sz="4" w:space="0" w:color="D77F16" w:themeColor="accent2"/>
            <w:left w:val="none" w:sz="0" w:space="0" w:color="auto"/>
            <w:bottom w:val="single" w:sz="4" w:space="0" w:color="FFFFFF" w:themeColor="background1"/>
            <w:right w:val="none" w:sz="0" w:space="0" w:color="auto"/>
            <w:tl2br w:val="none" w:sz="0" w:space="0" w:color="auto"/>
            <w:tr2bl w:val="none" w:sz="0" w:space="0" w:color="auto"/>
          </w:tcBorders>
        </w:tcPr>
        <w:p w14:paraId="609F5F7D" w14:textId="77777777" w:rsidR="008176AA" w:rsidRPr="004068F8" w:rsidRDefault="008176AA" w:rsidP="00AE1CFA">
          <w:pPr>
            <w:rPr>
              <w:lang w:val="fr-CA"/>
            </w:rPr>
          </w:pPr>
        </w:p>
      </w:tc>
    </w:tr>
    <w:tr w:rsidR="008176AA" w14:paraId="33D5697E" w14:textId="77777777" w:rsidTr="00CC3E8D">
      <w:tc>
        <w:tcPr>
          <w:tcW w:w="4990" w:type="dxa"/>
          <w:tcBorders>
            <w:top w:val="single" w:sz="4" w:space="0" w:color="FFFFFF" w:themeColor="background1"/>
          </w:tcBorders>
          <w:tcMar>
            <w:top w:w="57" w:type="dxa"/>
            <w:left w:w="0" w:type="dxa"/>
            <w:bottom w:w="0" w:type="dxa"/>
          </w:tcMar>
        </w:tcPr>
        <w:p w14:paraId="0FF1A9DC" w14:textId="77777777" w:rsidR="008176AA" w:rsidRDefault="008176AA" w:rsidP="00AE1CFA">
          <w:pPr>
            <w:pStyle w:val="BunntekstMenon"/>
            <w:rPr>
              <w:lang w:val="fr-CA"/>
            </w:rPr>
          </w:pPr>
          <w:r w:rsidRPr="00AB60FE">
            <w:t>MENON ECONOMICS</w:t>
          </w:r>
        </w:p>
      </w:tc>
      <w:tc>
        <w:tcPr>
          <w:tcW w:w="3088" w:type="dxa"/>
          <w:tcBorders>
            <w:top w:val="single" w:sz="4" w:space="0" w:color="FFFFFF" w:themeColor="background1"/>
            <w:right w:val="single" w:sz="4" w:space="0" w:color="D77F16" w:themeColor="accent2"/>
          </w:tcBorders>
          <w:tcMar>
            <w:top w:w="57" w:type="dxa"/>
            <w:bottom w:w="0" w:type="dxa"/>
          </w:tcMar>
        </w:tcPr>
        <w:p w14:paraId="450E1425" w14:textId="77777777" w:rsidR="008176AA" w:rsidRDefault="008176AA" w:rsidP="00A00DEB">
          <w:pPr>
            <w:pStyle w:val="BunntekstMenon"/>
            <w:jc w:val="right"/>
            <w:rPr>
              <w:lang w:val="fr-CA"/>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tc>
      <w:tc>
        <w:tcPr>
          <w:tcW w:w="987" w:type="dxa"/>
          <w:tcBorders>
            <w:top w:val="single" w:sz="4" w:space="0" w:color="FFFFFF" w:themeColor="background1"/>
            <w:left w:val="single" w:sz="4" w:space="0" w:color="D77F16" w:themeColor="accent2"/>
          </w:tcBorders>
          <w:tcMar>
            <w:top w:w="57" w:type="dxa"/>
            <w:bottom w:w="0" w:type="dxa"/>
            <w:right w:w="0" w:type="dxa"/>
          </w:tcMar>
        </w:tcPr>
        <w:p w14:paraId="4827A443" w14:textId="77777777" w:rsidR="008176AA" w:rsidRDefault="008176AA" w:rsidP="00AE1CFA">
          <w:pPr>
            <w:pStyle w:val="BunntekstMenon"/>
            <w:rPr>
              <w:lang w:val="fr-CA"/>
            </w:rPr>
          </w:pPr>
          <w:r>
            <w:t>RAPPORT</w:t>
          </w:r>
        </w:p>
      </w:tc>
    </w:tr>
  </w:tbl>
  <w:p w14:paraId="1D3CE7BC" w14:textId="77777777" w:rsidR="008176AA" w:rsidRPr="004E5781" w:rsidRDefault="008176AA" w:rsidP="00AE1C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36C5EE" w14:textId="77777777" w:rsidR="008176AA" w:rsidRDefault="008176AA" w:rsidP="00AE1CFA">
    <w:pPr>
      <w:pStyle w:val="Footer"/>
    </w:pPr>
    <w:r>
      <w:rPr>
        <w:noProof/>
        <w:lang w:val="en-US" w:eastAsia="nb-NO"/>
      </w:rPr>
      <w:drawing>
        <wp:anchor distT="0" distB="0" distL="114300" distR="114300" simplePos="0" relativeHeight="251658241" behindDoc="0" locked="0" layoutInCell="1" allowOverlap="1" wp14:anchorId="577D12AD" wp14:editId="74425D7F">
          <wp:simplePos x="0" y="0"/>
          <wp:positionH relativeFrom="column">
            <wp:posOffset>-620395</wp:posOffset>
          </wp:positionH>
          <wp:positionV relativeFrom="paragraph">
            <wp:posOffset>-728677</wp:posOffset>
          </wp:positionV>
          <wp:extent cx="6974541" cy="785116"/>
          <wp:effectExtent l="0" t="0" r="0" b="2540"/>
          <wp:wrapNone/>
          <wp:docPr id="5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NON BUNNELEMENT RGB.png"/>
                  <pic:cNvPicPr/>
                </pic:nvPicPr>
                <pic:blipFill>
                  <a:blip r:embed="rId1">
                    <a:extLst>
                      <a:ext uri="{28A0092B-C50C-407E-A947-70E740481C1C}">
                        <a14:useLocalDpi xmlns:a14="http://schemas.microsoft.com/office/drawing/2010/main" val="0"/>
                      </a:ext>
                    </a:extLst>
                  </a:blip>
                  <a:stretch>
                    <a:fillRect/>
                  </a:stretch>
                </pic:blipFill>
                <pic:spPr>
                  <a:xfrm>
                    <a:off x="0" y="0"/>
                    <a:ext cx="6974541" cy="785116"/>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55825" w14:textId="58749439" w:rsidR="008176AA" w:rsidRDefault="008176AA" w:rsidP="00AE1CF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E6C608" w14:textId="77777777" w:rsidR="008176AA" w:rsidRDefault="008176AA" w:rsidP="00AE1C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DCE028" w14:textId="77777777" w:rsidR="0021500E" w:rsidRDefault="0021500E" w:rsidP="00AE1CFA">
      <w:r>
        <w:separator/>
      </w:r>
    </w:p>
  </w:footnote>
  <w:footnote w:type="continuationSeparator" w:id="0">
    <w:p w14:paraId="58E2D763" w14:textId="77777777" w:rsidR="0021500E" w:rsidRDefault="0021500E" w:rsidP="00AE1CFA">
      <w:r>
        <w:continuationSeparator/>
      </w:r>
    </w:p>
  </w:footnote>
  <w:footnote w:type="continuationNotice" w:id="1">
    <w:p w14:paraId="3E181AD7" w14:textId="77777777" w:rsidR="0021500E" w:rsidRDefault="002150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B91CC1" w14:textId="53EC6EA7" w:rsidR="008176AA" w:rsidRDefault="00D475CF" w:rsidP="00AE1CFA">
    <w:pPr>
      <w:pStyle w:val="Header"/>
    </w:pPr>
    <w:r>
      <w:rPr>
        <w:noProof/>
      </w:rPr>
      <w:drawing>
        <wp:anchor distT="0" distB="0" distL="114300" distR="114300" simplePos="0" relativeHeight="251659266" behindDoc="0" locked="0" layoutInCell="1" allowOverlap="1" wp14:anchorId="08A77199" wp14:editId="521CBA6B">
          <wp:simplePos x="0" y="0"/>
          <wp:positionH relativeFrom="column">
            <wp:posOffset>3255010</wp:posOffset>
          </wp:positionH>
          <wp:positionV relativeFrom="paragraph">
            <wp:posOffset>133928</wp:posOffset>
          </wp:positionV>
          <wp:extent cx="1685499" cy="873963"/>
          <wp:effectExtent l="0" t="0" r="0" b="2540"/>
          <wp:wrapNone/>
          <wp:docPr id="55" name="Picture 55" descr="https://www.ks.no/globalassets/fagomrader/forskning-og-utvikling/tilbudsforesporsler/fou-rapport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ks.no/globalassets/fagomrader/forskning-og-utvikling/tilbudsforesporsler/fou-rapport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5499" cy="873963"/>
                  </a:xfrm>
                  <a:prstGeom prst="rect">
                    <a:avLst/>
                  </a:prstGeom>
                  <a:noFill/>
                  <a:ln>
                    <a:noFill/>
                  </a:ln>
                </pic:spPr>
              </pic:pic>
            </a:graphicData>
          </a:graphic>
          <wp14:sizeRelH relativeFrom="page">
            <wp14:pctWidth>0</wp14:pctWidth>
          </wp14:sizeRelH>
          <wp14:sizeRelV relativeFrom="page">
            <wp14:pctHeight>0</wp14:pctHeight>
          </wp14:sizeRelV>
        </wp:anchor>
      </w:drawing>
    </w:r>
    <w:r w:rsidR="008176AA">
      <w:rPr>
        <w:noProof/>
      </w:rPr>
      <w:drawing>
        <wp:anchor distT="0" distB="0" distL="114300" distR="114300" simplePos="0" relativeHeight="251659776" behindDoc="0" locked="0" layoutInCell="1" allowOverlap="1" wp14:anchorId="745AA7F6" wp14:editId="6E843C52">
          <wp:simplePos x="0" y="0"/>
          <wp:positionH relativeFrom="column">
            <wp:posOffset>880603</wp:posOffset>
          </wp:positionH>
          <wp:positionV relativeFrom="paragraph">
            <wp:posOffset>6985</wp:posOffset>
          </wp:positionV>
          <wp:extent cx="2279176" cy="1001984"/>
          <wp:effectExtent l="0" t="0" r="6985" b="8255"/>
          <wp:wrapNone/>
          <wp:docPr id="56" name="Picture 56" descr="Bilderesultat for tÃ¸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deresultat for tÃ¸i logo"/>
                  <pic:cNvPicPr>
                    <a:picLocks noChangeAspect="1" noChangeArrowheads="1"/>
                  </pic:cNvPicPr>
                </pic:nvPicPr>
                <pic:blipFill rotWithShape="1">
                  <a:blip r:embed="rId2">
                    <a:extLst>
                      <a:ext uri="{28A0092B-C50C-407E-A947-70E740481C1C}">
                        <a14:useLocalDpi xmlns:a14="http://schemas.microsoft.com/office/drawing/2010/main" val="0"/>
                      </a:ext>
                    </a:extLst>
                  </a:blip>
                  <a:srcRect t="27961" b="28076"/>
                  <a:stretch/>
                </pic:blipFill>
                <pic:spPr bwMode="auto">
                  <a:xfrm>
                    <a:off x="0" y="0"/>
                    <a:ext cx="2288157" cy="100593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176AA">
      <w:rPr>
        <w:noProof/>
        <w:lang w:val="en-US" w:eastAsia="nb-NO"/>
      </w:rPr>
      <w:drawing>
        <wp:anchor distT="0" distB="0" distL="114300" distR="114300" simplePos="0" relativeHeight="251656704" behindDoc="0" locked="0" layoutInCell="1" allowOverlap="1" wp14:anchorId="24985E76" wp14:editId="0EB69E1B">
          <wp:simplePos x="0" y="0"/>
          <wp:positionH relativeFrom="column">
            <wp:posOffset>-412750</wp:posOffset>
          </wp:positionH>
          <wp:positionV relativeFrom="paragraph">
            <wp:posOffset>1606</wp:posOffset>
          </wp:positionV>
          <wp:extent cx="1192402" cy="1183341"/>
          <wp:effectExtent l="0" t="0" r="1905" b="10795"/>
          <wp:wrapNone/>
          <wp:docPr id="57"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ENON ECONOMICS LOGO RGB.png"/>
                  <pic:cNvPicPr/>
                </pic:nvPicPr>
                <pic:blipFill>
                  <a:blip r:embed="rId3">
                    <a:extLst>
                      <a:ext uri="{28A0092B-C50C-407E-A947-70E740481C1C}">
                        <a14:useLocalDpi xmlns:a14="http://schemas.microsoft.com/office/drawing/2010/main" val="0"/>
                      </a:ext>
                    </a:extLst>
                  </a:blip>
                  <a:stretch>
                    <a:fillRect/>
                  </a:stretch>
                </pic:blipFill>
                <pic:spPr>
                  <a:xfrm>
                    <a:off x="0" y="0"/>
                    <a:ext cx="1216542" cy="120729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03D2D2" w14:textId="0506DC7C" w:rsidR="008176AA" w:rsidRDefault="008176AA" w:rsidP="00AE1C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8D63F" w14:textId="77777777" w:rsidR="008176AA" w:rsidRDefault="008176AA" w:rsidP="00AE1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8F068D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082B79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704CA51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9508B7F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332191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F48389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19564122"/>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C18224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B1666A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1A282C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9AAC5F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E628F9"/>
    <w:multiLevelType w:val="hybridMultilevel"/>
    <w:tmpl w:val="2588345A"/>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2122709"/>
    <w:multiLevelType w:val="hybridMultilevel"/>
    <w:tmpl w:val="293E84A6"/>
    <w:lvl w:ilvl="0" w:tplc="38C8D12C">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230150C"/>
    <w:multiLevelType w:val="hybridMultilevel"/>
    <w:tmpl w:val="3190BB3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4B4283A"/>
    <w:multiLevelType w:val="hybridMultilevel"/>
    <w:tmpl w:val="AA0C3046"/>
    <w:lvl w:ilvl="0" w:tplc="B60A46DA">
      <w:start w:val="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B393CF5"/>
    <w:multiLevelType w:val="multilevel"/>
    <w:tmpl w:val="DF80B3E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14E55AB2"/>
    <w:multiLevelType w:val="hybridMultilevel"/>
    <w:tmpl w:val="0F90864E"/>
    <w:lvl w:ilvl="0" w:tplc="C4DCB1D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1C4D7073"/>
    <w:multiLevelType w:val="hybridMultilevel"/>
    <w:tmpl w:val="9C7480D6"/>
    <w:lvl w:ilvl="0" w:tplc="4CE2D15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B37F36"/>
    <w:multiLevelType w:val="multilevel"/>
    <w:tmpl w:val="6FB4E6AA"/>
    <w:numStyleLink w:val="Headings"/>
  </w:abstractNum>
  <w:abstractNum w:abstractNumId="19" w15:restartNumberingAfterBreak="0">
    <w:nsid w:val="2B580B77"/>
    <w:multiLevelType w:val="multilevel"/>
    <w:tmpl w:val="6FB4E6AA"/>
    <w:numStyleLink w:val="Headings"/>
  </w:abstractNum>
  <w:abstractNum w:abstractNumId="20" w15:restartNumberingAfterBreak="0">
    <w:nsid w:val="2E326919"/>
    <w:multiLevelType w:val="multilevel"/>
    <w:tmpl w:val="6FB4E6AA"/>
    <w:styleLink w:val="Heading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1" w15:restartNumberingAfterBreak="0">
    <w:nsid w:val="2F192148"/>
    <w:multiLevelType w:val="multilevel"/>
    <w:tmpl w:val="6FB4E6AA"/>
    <w:numStyleLink w:val="Headings"/>
  </w:abstractNum>
  <w:abstractNum w:abstractNumId="22" w15:restartNumberingAfterBreak="0">
    <w:nsid w:val="359E3C8F"/>
    <w:multiLevelType w:val="hybridMultilevel"/>
    <w:tmpl w:val="0324F9E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387805D0"/>
    <w:multiLevelType w:val="hybridMultilevel"/>
    <w:tmpl w:val="856AA090"/>
    <w:lvl w:ilvl="0" w:tplc="04140011">
      <w:start w:val="1"/>
      <w:numFmt w:val="decimal"/>
      <w:lvlText w:val="%1)"/>
      <w:lvlJc w:val="left"/>
      <w:pPr>
        <w:ind w:left="720" w:hanging="360"/>
      </w:pPr>
      <w:rPr>
        <w:rFonts w:hint="default"/>
      </w:rPr>
    </w:lvl>
    <w:lvl w:ilvl="1" w:tplc="6D921A8E">
      <w:numFmt w:val="bullet"/>
      <w:lvlText w:val="-"/>
      <w:lvlJc w:val="left"/>
      <w:pPr>
        <w:ind w:left="1440" w:hanging="360"/>
      </w:pPr>
      <w:rPr>
        <w:rFonts w:ascii="Calibri" w:eastAsiaTheme="minorHAnsi" w:hAnsi="Calibri" w:cs="Calibri" w:hint="default"/>
      </w:r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3901291A"/>
    <w:multiLevelType w:val="multilevel"/>
    <w:tmpl w:val="0D96794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100" w:hanging="72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3A075E60"/>
    <w:multiLevelType w:val="hybridMultilevel"/>
    <w:tmpl w:val="CC9E489A"/>
    <w:lvl w:ilvl="0" w:tplc="FC68A686">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595518"/>
    <w:multiLevelType w:val="hybridMultilevel"/>
    <w:tmpl w:val="72908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EE75786"/>
    <w:multiLevelType w:val="hybridMultilevel"/>
    <w:tmpl w:val="3190BB3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6E05324"/>
    <w:multiLevelType w:val="multilevel"/>
    <w:tmpl w:val="6FB4E6AA"/>
    <w:numStyleLink w:val="Headings"/>
  </w:abstractNum>
  <w:abstractNum w:abstractNumId="29" w15:restartNumberingAfterBreak="0">
    <w:nsid w:val="4C6755A5"/>
    <w:multiLevelType w:val="hybridMultilevel"/>
    <w:tmpl w:val="D7A678C4"/>
    <w:lvl w:ilvl="0" w:tplc="A2F64622">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EBA0C3A"/>
    <w:multiLevelType w:val="hybridMultilevel"/>
    <w:tmpl w:val="67CA46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52723809"/>
    <w:multiLevelType w:val="hybridMultilevel"/>
    <w:tmpl w:val="AEE4CEB4"/>
    <w:lvl w:ilvl="0" w:tplc="B9466ACC">
      <w:start w:val="10"/>
      <w:numFmt w:val="bullet"/>
      <w:lvlText w:val="-"/>
      <w:lvlJc w:val="left"/>
      <w:pPr>
        <w:ind w:left="720" w:hanging="360"/>
      </w:pPr>
      <w:rPr>
        <w:rFonts w:ascii="Calibri" w:eastAsiaTheme="minorHAnsi" w:hAnsi="Calibri" w:cs="Calibr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2" w15:restartNumberingAfterBreak="0">
    <w:nsid w:val="543F2D9F"/>
    <w:multiLevelType w:val="multilevel"/>
    <w:tmpl w:val="6FB4E6AA"/>
    <w:numStyleLink w:val="Headings"/>
  </w:abstractNum>
  <w:abstractNum w:abstractNumId="33" w15:restartNumberingAfterBreak="0">
    <w:nsid w:val="5D874E1B"/>
    <w:multiLevelType w:val="hybridMultilevel"/>
    <w:tmpl w:val="69CE85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641A7B4E"/>
    <w:multiLevelType w:val="hybridMultilevel"/>
    <w:tmpl w:val="B2E2324C"/>
    <w:lvl w:ilvl="0" w:tplc="E6A6F70C">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AB279D4"/>
    <w:multiLevelType w:val="hybridMultilevel"/>
    <w:tmpl w:val="2F0AF89E"/>
    <w:lvl w:ilvl="0" w:tplc="EE54CC6E">
      <w:start w:val="54"/>
      <w:numFmt w:val="bullet"/>
      <w:lvlText w:val="-"/>
      <w:lvlJc w:val="left"/>
      <w:pPr>
        <w:ind w:left="720" w:hanging="360"/>
      </w:pPr>
      <w:rPr>
        <w:rFonts w:ascii="Calibri" w:eastAsiaTheme="minorHAnsi" w:hAnsi="Calibri" w:cs="Calibri" w:hint="default"/>
        <w:b w:val="0"/>
        <w:color w:val="auto"/>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CE729C6"/>
    <w:multiLevelType w:val="hybridMultilevel"/>
    <w:tmpl w:val="6A3E6B10"/>
    <w:lvl w:ilvl="0" w:tplc="F4283958">
      <w:start w:val="6"/>
      <w:numFmt w:val="bullet"/>
      <w:lvlText w:val="-"/>
      <w:lvlJc w:val="left"/>
      <w:pPr>
        <w:ind w:left="720" w:hanging="360"/>
      </w:pPr>
      <w:rPr>
        <w:rFonts w:ascii="Calibri" w:eastAsiaTheme="minorHAnsi" w:hAnsi="Calibri" w:cs="Calibri"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37" w15:restartNumberingAfterBreak="0">
    <w:nsid w:val="717204BE"/>
    <w:multiLevelType w:val="hybridMultilevel"/>
    <w:tmpl w:val="497470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23364AF"/>
    <w:multiLevelType w:val="hybridMultilevel"/>
    <w:tmpl w:val="9740D9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81A4D2E"/>
    <w:multiLevelType w:val="hybridMultilevel"/>
    <w:tmpl w:val="538457A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5D4D4B"/>
    <w:multiLevelType w:val="hybridMultilevel"/>
    <w:tmpl w:val="F65CAC6C"/>
    <w:lvl w:ilvl="0" w:tplc="68120B04">
      <w:numFmt w:val="bullet"/>
      <w:lvlText w:val="-"/>
      <w:lvlJc w:val="left"/>
      <w:pPr>
        <w:ind w:left="720" w:hanging="360"/>
      </w:pPr>
      <w:rPr>
        <w:rFonts w:ascii="Calibri" w:eastAsiaTheme="minorHAnsi" w:hAnsi="Calibri" w:cs="Calibri"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BED0E20"/>
    <w:multiLevelType w:val="hybridMultilevel"/>
    <w:tmpl w:val="3190BB3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E4A26AE"/>
    <w:multiLevelType w:val="hybridMultilevel"/>
    <w:tmpl w:val="3E64D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16"/>
  </w:num>
  <w:num w:numId="3">
    <w:abstractNumId w:val="20"/>
  </w:num>
  <w:num w:numId="4">
    <w:abstractNumId w:val="19"/>
  </w:num>
  <w:num w:numId="5">
    <w:abstractNumId w:val="18"/>
  </w:num>
  <w:num w:numId="6">
    <w:abstractNumId w:val="28"/>
  </w:num>
  <w:num w:numId="7">
    <w:abstractNumId w:val="33"/>
  </w:num>
  <w:num w:numId="8">
    <w:abstractNumId w:val="30"/>
  </w:num>
  <w:num w:numId="9">
    <w:abstractNumId w:val="14"/>
  </w:num>
  <w:num w:numId="10">
    <w:abstractNumId w:val="11"/>
  </w:num>
  <w:num w:numId="11">
    <w:abstractNumId w:val="0"/>
  </w:num>
  <w:num w:numId="12">
    <w:abstractNumId w:val="21"/>
  </w:num>
  <w:num w:numId="13">
    <w:abstractNumId w:val="32"/>
  </w:num>
  <w:num w:numId="14">
    <w:abstractNumId w:val="5"/>
  </w:num>
  <w:num w:numId="15">
    <w:abstractNumId w:val="6"/>
  </w:num>
  <w:num w:numId="16">
    <w:abstractNumId w:val="7"/>
  </w:num>
  <w:num w:numId="17">
    <w:abstractNumId w:val="8"/>
  </w:num>
  <w:num w:numId="18">
    <w:abstractNumId w:val="10"/>
  </w:num>
  <w:num w:numId="19">
    <w:abstractNumId w:val="1"/>
  </w:num>
  <w:num w:numId="20">
    <w:abstractNumId w:val="2"/>
  </w:num>
  <w:num w:numId="21">
    <w:abstractNumId w:val="3"/>
  </w:num>
  <w:num w:numId="22">
    <w:abstractNumId w:val="4"/>
  </w:num>
  <w:num w:numId="23">
    <w:abstractNumId w:val="9"/>
  </w:num>
  <w:num w:numId="24">
    <w:abstractNumId w:val="28"/>
  </w:num>
  <w:num w:numId="25">
    <w:abstractNumId w:val="28"/>
  </w:num>
  <w:num w:numId="26">
    <w:abstractNumId w:val="28"/>
  </w:num>
  <w:num w:numId="27">
    <w:abstractNumId w:val="23"/>
  </w:num>
  <w:num w:numId="28">
    <w:abstractNumId w:val="31"/>
  </w:num>
  <w:num w:numId="29">
    <w:abstractNumId w:val="36"/>
  </w:num>
  <w:num w:numId="30">
    <w:abstractNumId w:val="29"/>
  </w:num>
  <w:num w:numId="31">
    <w:abstractNumId w:val="26"/>
  </w:num>
  <w:num w:numId="32">
    <w:abstractNumId w:val="13"/>
  </w:num>
  <w:num w:numId="33">
    <w:abstractNumId w:val="34"/>
  </w:num>
  <w:num w:numId="34">
    <w:abstractNumId w:val="27"/>
  </w:num>
  <w:num w:numId="35">
    <w:abstractNumId w:val="41"/>
  </w:num>
  <w:num w:numId="36">
    <w:abstractNumId w:val="35"/>
  </w:num>
  <w:num w:numId="37">
    <w:abstractNumId w:val="42"/>
  </w:num>
  <w:num w:numId="38">
    <w:abstractNumId w:val="38"/>
  </w:num>
  <w:num w:numId="39">
    <w:abstractNumId w:val="12"/>
  </w:num>
  <w:num w:numId="40">
    <w:abstractNumId w:val="39"/>
  </w:num>
  <w:num w:numId="41">
    <w:abstractNumId w:val="25"/>
  </w:num>
  <w:num w:numId="42">
    <w:abstractNumId w:val="15"/>
  </w:num>
  <w:num w:numId="43">
    <w:abstractNumId w:val="24"/>
  </w:num>
  <w:num w:numId="44">
    <w:abstractNumId w:val="17"/>
  </w:num>
  <w:num w:numId="45">
    <w:abstractNumId w:val="37"/>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0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250"/>
    <w:rsid w:val="000003B6"/>
    <w:rsid w:val="0000040F"/>
    <w:rsid w:val="000005C8"/>
    <w:rsid w:val="00000CAA"/>
    <w:rsid w:val="00000D2A"/>
    <w:rsid w:val="00000D64"/>
    <w:rsid w:val="00000EB7"/>
    <w:rsid w:val="00001164"/>
    <w:rsid w:val="00001591"/>
    <w:rsid w:val="0000223A"/>
    <w:rsid w:val="00002D60"/>
    <w:rsid w:val="00004152"/>
    <w:rsid w:val="000046FA"/>
    <w:rsid w:val="000057AE"/>
    <w:rsid w:val="000062F5"/>
    <w:rsid w:val="000064A5"/>
    <w:rsid w:val="000077D5"/>
    <w:rsid w:val="00007A31"/>
    <w:rsid w:val="0001190F"/>
    <w:rsid w:val="00011F0F"/>
    <w:rsid w:val="00013154"/>
    <w:rsid w:val="00013F3B"/>
    <w:rsid w:val="00014F48"/>
    <w:rsid w:val="00015270"/>
    <w:rsid w:val="0001584F"/>
    <w:rsid w:val="00016945"/>
    <w:rsid w:val="00016A85"/>
    <w:rsid w:val="00016F13"/>
    <w:rsid w:val="00017645"/>
    <w:rsid w:val="000205B1"/>
    <w:rsid w:val="000208FB"/>
    <w:rsid w:val="00020BB8"/>
    <w:rsid w:val="00021C15"/>
    <w:rsid w:val="00022407"/>
    <w:rsid w:val="0002274C"/>
    <w:rsid w:val="00022C79"/>
    <w:rsid w:val="00022F72"/>
    <w:rsid w:val="000235D5"/>
    <w:rsid w:val="0002366F"/>
    <w:rsid w:val="000239EF"/>
    <w:rsid w:val="00024270"/>
    <w:rsid w:val="00024303"/>
    <w:rsid w:val="00024EBF"/>
    <w:rsid w:val="000250D5"/>
    <w:rsid w:val="0002541C"/>
    <w:rsid w:val="000261E0"/>
    <w:rsid w:val="00026916"/>
    <w:rsid w:val="000274AE"/>
    <w:rsid w:val="000277AD"/>
    <w:rsid w:val="00027F6F"/>
    <w:rsid w:val="00031FB3"/>
    <w:rsid w:val="0003211C"/>
    <w:rsid w:val="000328CC"/>
    <w:rsid w:val="00032B6D"/>
    <w:rsid w:val="00033571"/>
    <w:rsid w:val="0003460D"/>
    <w:rsid w:val="00034C37"/>
    <w:rsid w:val="000361FE"/>
    <w:rsid w:val="00036508"/>
    <w:rsid w:val="000374CB"/>
    <w:rsid w:val="00037B19"/>
    <w:rsid w:val="00040251"/>
    <w:rsid w:val="00040AFC"/>
    <w:rsid w:val="00040EEA"/>
    <w:rsid w:val="00040F03"/>
    <w:rsid w:val="00041B27"/>
    <w:rsid w:val="00042201"/>
    <w:rsid w:val="00042C5A"/>
    <w:rsid w:val="0004301B"/>
    <w:rsid w:val="00043054"/>
    <w:rsid w:val="00043F73"/>
    <w:rsid w:val="000444B0"/>
    <w:rsid w:val="000445A4"/>
    <w:rsid w:val="00044C0F"/>
    <w:rsid w:val="000456E5"/>
    <w:rsid w:val="00046DE3"/>
    <w:rsid w:val="00046EE1"/>
    <w:rsid w:val="00047457"/>
    <w:rsid w:val="0005222A"/>
    <w:rsid w:val="000528E3"/>
    <w:rsid w:val="0005360F"/>
    <w:rsid w:val="00053948"/>
    <w:rsid w:val="0005411A"/>
    <w:rsid w:val="000547CA"/>
    <w:rsid w:val="00054D75"/>
    <w:rsid w:val="000567B5"/>
    <w:rsid w:val="00056A60"/>
    <w:rsid w:val="00056B39"/>
    <w:rsid w:val="00056D53"/>
    <w:rsid w:val="00057926"/>
    <w:rsid w:val="000606E1"/>
    <w:rsid w:val="00060E04"/>
    <w:rsid w:val="0006129C"/>
    <w:rsid w:val="0006176B"/>
    <w:rsid w:val="000622F8"/>
    <w:rsid w:val="000629F9"/>
    <w:rsid w:val="00063099"/>
    <w:rsid w:val="000630E0"/>
    <w:rsid w:val="00063EF6"/>
    <w:rsid w:val="000642F7"/>
    <w:rsid w:val="0006451B"/>
    <w:rsid w:val="000648B5"/>
    <w:rsid w:val="00066959"/>
    <w:rsid w:val="00066D95"/>
    <w:rsid w:val="0006742F"/>
    <w:rsid w:val="000676D9"/>
    <w:rsid w:val="00067840"/>
    <w:rsid w:val="0006793F"/>
    <w:rsid w:val="000710DB"/>
    <w:rsid w:val="00071172"/>
    <w:rsid w:val="0007124A"/>
    <w:rsid w:val="000724AA"/>
    <w:rsid w:val="00072CA8"/>
    <w:rsid w:val="00072D89"/>
    <w:rsid w:val="000733B0"/>
    <w:rsid w:val="00074DE6"/>
    <w:rsid w:val="000753C2"/>
    <w:rsid w:val="00075A7B"/>
    <w:rsid w:val="00076AB7"/>
    <w:rsid w:val="00076EFE"/>
    <w:rsid w:val="00077AB7"/>
    <w:rsid w:val="000802A6"/>
    <w:rsid w:val="00080861"/>
    <w:rsid w:val="00080D53"/>
    <w:rsid w:val="00081299"/>
    <w:rsid w:val="000814ED"/>
    <w:rsid w:val="000819B1"/>
    <w:rsid w:val="00081DAD"/>
    <w:rsid w:val="0008208C"/>
    <w:rsid w:val="00082142"/>
    <w:rsid w:val="00082696"/>
    <w:rsid w:val="00082A2B"/>
    <w:rsid w:val="00082AF7"/>
    <w:rsid w:val="000833CA"/>
    <w:rsid w:val="00083502"/>
    <w:rsid w:val="00084168"/>
    <w:rsid w:val="0008426E"/>
    <w:rsid w:val="000848C6"/>
    <w:rsid w:val="00085094"/>
    <w:rsid w:val="000852C7"/>
    <w:rsid w:val="000859CC"/>
    <w:rsid w:val="00086DB1"/>
    <w:rsid w:val="000901BF"/>
    <w:rsid w:val="00090629"/>
    <w:rsid w:val="00090ECB"/>
    <w:rsid w:val="00090F73"/>
    <w:rsid w:val="00091655"/>
    <w:rsid w:val="000916A8"/>
    <w:rsid w:val="00091F72"/>
    <w:rsid w:val="000920C4"/>
    <w:rsid w:val="000928B7"/>
    <w:rsid w:val="0009368B"/>
    <w:rsid w:val="0009394D"/>
    <w:rsid w:val="0009475B"/>
    <w:rsid w:val="00094AD9"/>
    <w:rsid w:val="00095509"/>
    <w:rsid w:val="0009587D"/>
    <w:rsid w:val="000958FC"/>
    <w:rsid w:val="00095C6C"/>
    <w:rsid w:val="00097902"/>
    <w:rsid w:val="000A0001"/>
    <w:rsid w:val="000A0164"/>
    <w:rsid w:val="000A073D"/>
    <w:rsid w:val="000A166D"/>
    <w:rsid w:val="000A17EB"/>
    <w:rsid w:val="000A20D3"/>
    <w:rsid w:val="000A2BA1"/>
    <w:rsid w:val="000A2FC1"/>
    <w:rsid w:val="000A3159"/>
    <w:rsid w:val="000A31FE"/>
    <w:rsid w:val="000A3231"/>
    <w:rsid w:val="000A354D"/>
    <w:rsid w:val="000A3608"/>
    <w:rsid w:val="000A3951"/>
    <w:rsid w:val="000A4349"/>
    <w:rsid w:val="000A4A97"/>
    <w:rsid w:val="000A53D0"/>
    <w:rsid w:val="000A6B8A"/>
    <w:rsid w:val="000A79C8"/>
    <w:rsid w:val="000A7B6A"/>
    <w:rsid w:val="000A7EBA"/>
    <w:rsid w:val="000B0C67"/>
    <w:rsid w:val="000B1125"/>
    <w:rsid w:val="000B16F8"/>
    <w:rsid w:val="000B1E53"/>
    <w:rsid w:val="000B239F"/>
    <w:rsid w:val="000B2646"/>
    <w:rsid w:val="000B2690"/>
    <w:rsid w:val="000B3206"/>
    <w:rsid w:val="000B36E6"/>
    <w:rsid w:val="000B4499"/>
    <w:rsid w:val="000B4543"/>
    <w:rsid w:val="000B4DC8"/>
    <w:rsid w:val="000B5C5C"/>
    <w:rsid w:val="000B635F"/>
    <w:rsid w:val="000B659B"/>
    <w:rsid w:val="000B6824"/>
    <w:rsid w:val="000B69CC"/>
    <w:rsid w:val="000B6D11"/>
    <w:rsid w:val="000B6F6D"/>
    <w:rsid w:val="000B7127"/>
    <w:rsid w:val="000B734B"/>
    <w:rsid w:val="000B7B53"/>
    <w:rsid w:val="000C028A"/>
    <w:rsid w:val="000C145F"/>
    <w:rsid w:val="000C1D9C"/>
    <w:rsid w:val="000C2B5F"/>
    <w:rsid w:val="000C30B8"/>
    <w:rsid w:val="000C39B2"/>
    <w:rsid w:val="000C3BF7"/>
    <w:rsid w:val="000C3C08"/>
    <w:rsid w:val="000C465B"/>
    <w:rsid w:val="000C500C"/>
    <w:rsid w:val="000C598A"/>
    <w:rsid w:val="000C5EBA"/>
    <w:rsid w:val="000C6260"/>
    <w:rsid w:val="000C6618"/>
    <w:rsid w:val="000C7572"/>
    <w:rsid w:val="000C7F3D"/>
    <w:rsid w:val="000C7FA2"/>
    <w:rsid w:val="000D0C57"/>
    <w:rsid w:val="000D0EB8"/>
    <w:rsid w:val="000D105C"/>
    <w:rsid w:val="000D330B"/>
    <w:rsid w:val="000D3367"/>
    <w:rsid w:val="000D3672"/>
    <w:rsid w:val="000D3DB3"/>
    <w:rsid w:val="000D4667"/>
    <w:rsid w:val="000D4903"/>
    <w:rsid w:val="000D56D7"/>
    <w:rsid w:val="000D66D5"/>
    <w:rsid w:val="000D6B83"/>
    <w:rsid w:val="000D6F0C"/>
    <w:rsid w:val="000D7537"/>
    <w:rsid w:val="000D7C7C"/>
    <w:rsid w:val="000E054A"/>
    <w:rsid w:val="000E2C61"/>
    <w:rsid w:val="000E3102"/>
    <w:rsid w:val="000E3649"/>
    <w:rsid w:val="000E3B83"/>
    <w:rsid w:val="000E3C68"/>
    <w:rsid w:val="000E416C"/>
    <w:rsid w:val="000E428B"/>
    <w:rsid w:val="000E5C62"/>
    <w:rsid w:val="000E672E"/>
    <w:rsid w:val="000E7D16"/>
    <w:rsid w:val="000F0060"/>
    <w:rsid w:val="000F1C9F"/>
    <w:rsid w:val="000F2154"/>
    <w:rsid w:val="000F24C4"/>
    <w:rsid w:val="000F2571"/>
    <w:rsid w:val="000F2EEE"/>
    <w:rsid w:val="000F3537"/>
    <w:rsid w:val="000F368F"/>
    <w:rsid w:val="000F3815"/>
    <w:rsid w:val="000F3D60"/>
    <w:rsid w:val="000F3DA6"/>
    <w:rsid w:val="000F421D"/>
    <w:rsid w:val="000F4635"/>
    <w:rsid w:val="000F470A"/>
    <w:rsid w:val="000F47AD"/>
    <w:rsid w:val="000F4F0E"/>
    <w:rsid w:val="000F5291"/>
    <w:rsid w:val="000F5DF3"/>
    <w:rsid w:val="000F64AC"/>
    <w:rsid w:val="000F6A2F"/>
    <w:rsid w:val="000F70F5"/>
    <w:rsid w:val="000F7374"/>
    <w:rsid w:val="000F7A8E"/>
    <w:rsid w:val="00100CFF"/>
    <w:rsid w:val="00100E67"/>
    <w:rsid w:val="00100F77"/>
    <w:rsid w:val="00101D66"/>
    <w:rsid w:val="00102E54"/>
    <w:rsid w:val="00103515"/>
    <w:rsid w:val="00103625"/>
    <w:rsid w:val="00104C42"/>
    <w:rsid w:val="00105541"/>
    <w:rsid w:val="00105746"/>
    <w:rsid w:val="001057E6"/>
    <w:rsid w:val="00106AD1"/>
    <w:rsid w:val="00107E83"/>
    <w:rsid w:val="00107FCD"/>
    <w:rsid w:val="001105C2"/>
    <w:rsid w:val="00111231"/>
    <w:rsid w:val="00111253"/>
    <w:rsid w:val="001112AC"/>
    <w:rsid w:val="001113AB"/>
    <w:rsid w:val="00111F74"/>
    <w:rsid w:val="0011229F"/>
    <w:rsid w:val="00112887"/>
    <w:rsid w:val="00112893"/>
    <w:rsid w:val="00114CCD"/>
    <w:rsid w:val="00115EB1"/>
    <w:rsid w:val="00116660"/>
    <w:rsid w:val="001168D9"/>
    <w:rsid w:val="00117245"/>
    <w:rsid w:val="001177BA"/>
    <w:rsid w:val="00120FBB"/>
    <w:rsid w:val="0012105B"/>
    <w:rsid w:val="00121211"/>
    <w:rsid w:val="00122605"/>
    <w:rsid w:val="001226CB"/>
    <w:rsid w:val="00122AD6"/>
    <w:rsid w:val="00122B31"/>
    <w:rsid w:val="00122E82"/>
    <w:rsid w:val="00122E83"/>
    <w:rsid w:val="0012331D"/>
    <w:rsid w:val="00123B74"/>
    <w:rsid w:val="00123E84"/>
    <w:rsid w:val="00123F70"/>
    <w:rsid w:val="001246D7"/>
    <w:rsid w:val="001247CC"/>
    <w:rsid w:val="00124BA8"/>
    <w:rsid w:val="00125F56"/>
    <w:rsid w:val="00126213"/>
    <w:rsid w:val="001263A5"/>
    <w:rsid w:val="001267DE"/>
    <w:rsid w:val="00126B08"/>
    <w:rsid w:val="00127036"/>
    <w:rsid w:val="0013007D"/>
    <w:rsid w:val="00130872"/>
    <w:rsid w:val="001309E3"/>
    <w:rsid w:val="00130ADC"/>
    <w:rsid w:val="001315AA"/>
    <w:rsid w:val="00131CD6"/>
    <w:rsid w:val="00132C91"/>
    <w:rsid w:val="00132E56"/>
    <w:rsid w:val="00133016"/>
    <w:rsid w:val="00133180"/>
    <w:rsid w:val="00134DB2"/>
    <w:rsid w:val="00134F41"/>
    <w:rsid w:val="0013542C"/>
    <w:rsid w:val="00135BCF"/>
    <w:rsid w:val="00137531"/>
    <w:rsid w:val="001403CD"/>
    <w:rsid w:val="00140593"/>
    <w:rsid w:val="00140892"/>
    <w:rsid w:val="00140958"/>
    <w:rsid w:val="001409FD"/>
    <w:rsid w:val="00140A1D"/>
    <w:rsid w:val="00140B19"/>
    <w:rsid w:val="00140B57"/>
    <w:rsid w:val="00141873"/>
    <w:rsid w:val="0014218A"/>
    <w:rsid w:val="001422A5"/>
    <w:rsid w:val="00142333"/>
    <w:rsid w:val="00142849"/>
    <w:rsid w:val="00142E7A"/>
    <w:rsid w:val="00143CD2"/>
    <w:rsid w:val="0014404A"/>
    <w:rsid w:val="00144674"/>
    <w:rsid w:val="00145A1D"/>
    <w:rsid w:val="00146296"/>
    <w:rsid w:val="00146E6F"/>
    <w:rsid w:val="0014789C"/>
    <w:rsid w:val="00147D04"/>
    <w:rsid w:val="00150203"/>
    <w:rsid w:val="00150385"/>
    <w:rsid w:val="001509DB"/>
    <w:rsid w:val="0015172C"/>
    <w:rsid w:val="0015180D"/>
    <w:rsid w:val="00152A77"/>
    <w:rsid w:val="00152BB7"/>
    <w:rsid w:val="00152CAA"/>
    <w:rsid w:val="00152EB0"/>
    <w:rsid w:val="001537F9"/>
    <w:rsid w:val="00153DE3"/>
    <w:rsid w:val="00154208"/>
    <w:rsid w:val="00155D1F"/>
    <w:rsid w:val="0015662F"/>
    <w:rsid w:val="00156793"/>
    <w:rsid w:val="001569C8"/>
    <w:rsid w:val="00157039"/>
    <w:rsid w:val="001577B3"/>
    <w:rsid w:val="001629E0"/>
    <w:rsid w:val="00162AC5"/>
    <w:rsid w:val="00162B5C"/>
    <w:rsid w:val="00162F0C"/>
    <w:rsid w:val="0016403A"/>
    <w:rsid w:val="00164B15"/>
    <w:rsid w:val="00165125"/>
    <w:rsid w:val="0016585A"/>
    <w:rsid w:val="00165A92"/>
    <w:rsid w:val="00165AD1"/>
    <w:rsid w:val="00165CB9"/>
    <w:rsid w:val="0016650C"/>
    <w:rsid w:val="0016675E"/>
    <w:rsid w:val="00166877"/>
    <w:rsid w:val="00166C37"/>
    <w:rsid w:val="001676CD"/>
    <w:rsid w:val="00167F41"/>
    <w:rsid w:val="00171541"/>
    <w:rsid w:val="00171A16"/>
    <w:rsid w:val="001721E9"/>
    <w:rsid w:val="001726BF"/>
    <w:rsid w:val="00172CB8"/>
    <w:rsid w:val="001735D5"/>
    <w:rsid w:val="00173E64"/>
    <w:rsid w:val="00173FAE"/>
    <w:rsid w:val="001742AF"/>
    <w:rsid w:val="00174459"/>
    <w:rsid w:val="00175BF6"/>
    <w:rsid w:val="00175E32"/>
    <w:rsid w:val="00176267"/>
    <w:rsid w:val="001771ED"/>
    <w:rsid w:val="00177529"/>
    <w:rsid w:val="00177CBA"/>
    <w:rsid w:val="00182988"/>
    <w:rsid w:val="00182F75"/>
    <w:rsid w:val="001835AF"/>
    <w:rsid w:val="00183AA7"/>
    <w:rsid w:val="001846AA"/>
    <w:rsid w:val="0018501A"/>
    <w:rsid w:val="0018598A"/>
    <w:rsid w:val="00185CAD"/>
    <w:rsid w:val="00185E8D"/>
    <w:rsid w:val="00185F1B"/>
    <w:rsid w:val="001862EE"/>
    <w:rsid w:val="00186A1F"/>
    <w:rsid w:val="00186D50"/>
    <w:rsid w:val="00187066"/>
    <w:rsid w:val="00187599"/>
    <w:rsid w:val="00190E88"/>
    <w:rsid w:val="00191D3B"/>
    <w:rsid w:val="00192241"/>
    <w:rsid w:val="00192255"/>
    <w:rsid w:val="0019226A"/>
    <w:rsid w:val="00192345"/>
    <w:rsid w:val="00193882"/>
    <w:rsid w:val="00193E18"/>
    <w:rsid w:val="00194320"/>
    <w:rsid w:val="00194346"/>
    <w:rsid w:val="001948C4"/>
    <w:rsid w:val="00196280"/>
    <w:rsid w:val="001965CE"/>
    <w:rsid w:val="00196753"/>
    <w:rsid w:val="00196ABC"/>
    <w:rsid w:val="00197B18"/>
    <w:rsid w:val="001A0887"/>
    <w:rsid w:val="001A099D"/>
    <w:rsid w:val="001A17F2"/>
    <w:rsid w:val="001A220B"/>
    <w:rsid w:val="001A3C29"/>
    <w:rsid w:val="001A414F"/>
    <w:rsid w:val="001A4EDE"/>
    <w:rsid w:val="001A5D44"/>
    <w:rsid w:val="001A6200"/>
    <w:rsid w:val="001A68DE"/>
    <w:rsid w:val="001A79B2"/>
    <w:rsid w:val="001B0DD9"/>
    <w:rsid w:val="001B2506"/>
    <w:rsid w:val="001B25B3"/>
    <w:rsid w:val="001B273A"/>
    <w:rsid w:val="001B2772"/>
    <w:rsid w:val="001B36AC"/>
    <w:rsid w:val="001B3DDA"/>
    <w:rsid w:val="001B4204"/>
    <w:rsid w:val="001B49E9"/>
    <w:rsid w:val="001B4CFA"/>
    <w:rsid w:val="001B5393"/>
    <w:rsid w:val="001B5F23"/>
    <w:rsid w:val="001B72AE"/>
    <w:rsid w:val="001B774E"/>
    <w:rsid w:val="001B77F1"/>
    <w:rsid w:val="001B7C84"/>
    <w:rsid w:val="001C2C5D"/>
    <w:rsid w:val="001C2E03"/>
    <w:rsid w:val="001C4102"/>
    <w:rsid w:val="001C4CB8"/>
    <w:rsid w:val="001C55DF"/>
    <w:rsid w:val="001C5AC9"/>
    <w:rsid w:val="001C5DDF"/>
    <w:rsid w:val="001C6193"/>
    <w:rsid w:val="001C66F4"/>
    <w:rsid w:val="001C7635"/>
    <w:rsid w:val="001C795E"/>
    <w:rsid w:val="001D0153"/>
    <w:rsid w:val="001D0C72"/>
    <w:rsid w:val="001D0D19"/>
    <w:rsid w:val="001D1D68"/>
    <w:rsid w:val="001D2452"/>
    <w:rsid w:val="001D2C5C"/>
    <w:rsid w:val="001D339D"/>
    <w:rsid w:val="001D4290"/>
    <w:rsid w:val="001D436A"/>
    <w:rsid w:val="001D4550"/>
    <w:rsid w:val="001D4A50"/>
    <w:rsid w:val="001D520C"/>
    <w:rsid w:val="001D70D6"/>
    <w:rsid w:val="001D71B9"/>
    <w:rsid w:val="001E008F"/>
    <w:rsid w:val="001E0C42"/>
    <w:rsid w:val="001E1511"/>
    <w:rsid w:val="001E17BE"/>
    <w:rsid w:val="001E1D35"/>
    <w:rsid w:val="001E239C"/>
    <w:rsid w:val="001E279A"/>
    <w:rsid w:val="001E363D"/>
    <w:rsid w:val="001E469D"/>
    <w:rsid w:val="001E5138"/>
    <w:rsid w:val="001E58DB"/>
    <w:rsid w:val="001E6709"/>
    <w:rsid w:val="001E6D98"/>
    <w:rsid w:val="001E75DC"/>
    <w:rsid w:val="001F2B35"/>
    <w:rsid w:val="001F2C07"/>
    <w:rsid w:val="001F412A"/>
    <w:rsid w:val="001F4721"/>
    <w:rsid w:val="001F48DA"/>
    <w:rsid w:val="001F4B0D"/>
    <w:rsid w:val="001F4D99"/>
    <w:rsid w:val="001F5226"/>
    <w:rsid w:val="001F568E"/>
    <w:rsid w:val="001F5708"/>
    <w:rsid w:val="001F5EB2"/>
    <w:rsid w:val="001F6307"/>
    <w:rsid w:val="001F6622"/>
    <w:rsid w:val="002005FC"/>
    <w:rsid w:val="002007B6"/>
    <w:rsid w:val="00201057"/>
    <w:rsid w:val="002010AC"/>
    <w:rsid w:val="00201275"/>
    <w:rsid w:val="0020188B"/>
    <w:rsid w:val="00201FD0"/>
    <w:rsid w:val="002023D2"/>
    <w:rsid w:val="00202994"/>
    <w:rsid w:val="0020335A"/>
    <w:rsid w:val="00203B31"/>
    <w:rsid w:val="002042EC"/>
    <w:rsid w:val="00205263"/>
    <w:rsid w:val="00205A07"/>
    <w:rsid w:val="00205C99"/>
    <w:rsid w:val="00206562"/>
    <w:rsid w:val="00206C15"/>
    <w:rsid w:val="00207054"/>
    <w:rsid w:val="0020729A"/>
    <w:rsid w:val="00207307"/>
    <w:rsid w:val="0020739B"/>
    <w:rsid w:val="00207A7B"/>
    <w:rsid w:val="00207D58"/>
    <w:rsid w:val="00211403"/>
    <w:rsid w:val="0021142F"/>
    <w:rsid w:val="00211664"/>
    <w:rsid w:val="0021221B"/>
    <w:rsid w:val="002126A9"/>
    <w:rsid w:val="00212EF8"/>
    <w:rsid w:val="002133E8"/>
    <w:rsid w:val="00213453"/>
    <w:rsid w:val="002135B3"/>
    <w:rsid w:val="00213860"/>
    <w:rsid w:val="00213C2C"/>
    <w:rsid w:val="00214096"/>
    <w:rsid w:val="002141DD"/>
    <w:rsid w:val="002149F3"/>
    <w:rsid w:val="00214A79"/>
    <w:rsid w:val="0021500E"/>
    <w:rsid w:val="002157F4"/>
    <w:rsid w:val="00216BC1"/>
    <w:rsid w:val="002171DB"/>
    <w:rsid w:val="002175BE"/>
    <w:rsid w:val="0021761B"/>
    <w:rsid w:val="00217FA1"/>
    <w:rsid w:val="002201CE"/>
    <w:rsid w:val="002204CA"/>
    <w:rsid w:val="002208E6"/>
    <w:rsid w:val="00220E9B"/>
    <w:rsid w:val="00221136"/>
    <w:rsid w:val="002212D9"/>
    <w:rsid w:val="0022195E"/>
    <w:rsid w:val="002220B8"/>
    <w:rsid w:val="002220D4"/>
    <w:rsid w:val="002228F4"/>
    <w:rsid w:val="00222D41"/>
    <w:rsid w:val="0022305F"/>
    <w:rsid w:val="002236CF"/>
    <w:rsid w:val="002237BF"/>
    <w:rsid w:val="002238B7"/>
    <w:rsid w:val="00223A7A"/>
    <w:rsid w:val="00223CA6"/>
    <w:rsid w:val="00223E96"/>
    <w:rsid w:val="002246D7"/>
    <w:rsid w:val="00224907"/>
    <w:rsid w:val="00224A3D"/>
    <w:rsid w:val="00225495"/>
    <w:rsid w:val="00226C3A"/>
    <w:rsid w:val="00226CB9"/>
    <w:rsid w:val="00227E3F"/>
    <w:rsid w:val="0023010F"/>
    <w:rsid w:val="00230978"/>
    <w:rsid w:val="00230A18"/>
    <w:rsid w:val="00230E13"/>
    <w:rsid w:val="00231BB9"/>
    <w:rsid w:val="00232079"/>
    <w:rsid w:val="002327D5"/>
    <w:rsid w:val="00233731"/>
    <w:rsid w:val="00233847"/>
    <w:rsid w:val="00233DBE"/>
    <w:rsid w:val="002347E0"/>
    <w:rsid w:val="00234877"/>
    <w:rsid w:val="002349BF"/>
    <w:rsid w:val="00234B26"/>
    <w:rsid w:val="00234C60"/>
    <w:rsid w:val="00234DED"/>
    <w:rsid w:val="00234F86"/>
    <w:rsid w:val="002359FC"/>
    <w:rsid w:val="00235CDC"/>
    <w:rsid w:val="00235CE7"/>
    <w:rsid w:val="00236B40"/>
    <w:rsid w:val="00236C18"/>
    <w:rsid w:val="00236FE1"/>
    <w:rsid w:val="00237F8E"/>
    <w:rsid w:val="00240C7B"/>
    <w:rsid w:val="0024135D"/>
    <w:rsid w:val="00242F7D"/>
    <w:rsid w:val="00242FBA"/>
    <w:rsid w:val="002432A1"/>
    <w:rsid w:val="00243417"/>
    <w:rsid w:val="00243E42"/>
    <w:rsid w:val="00244222"/>
    <w:rsid w:val="00244475"/>
    <w:rsid w:val="0024514E"/>
    <w:rsid w:val="002467CD"/>
    <w:rsid w:val="002508FA"/>
    <w:rsid w:val="00250A0A"/>
    <w:rsid w:val="002518D7"/>
    <w:rsid w:val="00251F30"/>
    <w:rsid w:val="00252513"/>
    <w:rsid w:val="002533FB"/>
    <w:rsid w:val="00253902"/>
    <w:rsid w:val="00254AFF"/>
    <w:rsid w:val="00255E0C"/>
    <w:rsid w:val="002561AD"/>
    <w:rsid w:val="0026024E"/>
    <w:rsid w:val="0026059E"/>
    <w:rsid w:val="00260E9B"/>
    <w:rsid w:val="00261C92"/>
    <w:rsid w:val="00261ED3"/>
    <w:rsid w:val="002626B3"/>
    <w:rsid w:val="00262861"/>
    <w:rsid w:val="00262CEA"/>
    <w:rsid w:val="0026378F"/>
    <w:rsid w:val="00263A40"/>
    <w:rsid w:val="0026468B"/>
    <w:rsid w:val="00264C1B"/>
    <w:rsid w:val="00264F7E"/>
    <w:rsid w:val="00265802"/>
    <w:rsid w:val="00265A37"/>
    <w:rsid w:val="0026643F"/>
    <w:rsid w:val="002669C1"/>
    <w:rsid w:val="00266B24"/>
    <w:rsid w:val="00266CBF"/>
    <w:rsid w:val="00267554"/>
    <w:rsid w:val="00267A7B"/>
    <w:rsid w:val="00271F37"/>
    <w:rsid w:val="00272765"/>
    <w:rsid w:val="00272DC7"/>
    <w:rsid w:val="00272DE4"/>
    <w:rsid w:val="00273155"/>
    <w:rsid w:val="002741A5"/>
    <w:rsid w:val="00274226"/>
    <w:rsid w:val="0027499C"/>
    <w:rsid w:val="00274F48"/>
    <w:rsid w:val="00275BA6"/>
    <w:rsid w:val="00275EF2"/>
    <w:rsid w:val="00280508"/>
    <w:rsid w:val="00280AF0"/>
    <w:rsid w:val="00280E70"/>
    <w:rsid w:val="002812D6"/>
    <w:rsid w:val="00281674"/>
    <w:rsid w:val="00282412"/>
    <w:rsid w:val="002827BE"/>
    <w:rsid w:val="00282B51"/>
    <w:rsid w:val="0028360F"/>
    <w:rsid w:val="00283C7C"/>
    <w:rsid w:val="00283F37"/>
    <w:rsid w:val="00284379"/>
    <w:rsid w:val="00284C42"/>
    <w:rsid w:val="00284D38"/>
    <w:rsid w:val="002851CF"/>
    <w:rsid w:val="00286545"/>
    <w:rsid w:val="00286F37"/>
    <w:rsid w:val="00287E1E"/>
    <w:rsid w:val="00287E4D"/>
    <w:rsid w:val="00291AD5"/>
    <w:rsid w:val="002921B4"/>
    <w:rsid w:val="00292323"/>
    <w:rsid w:val="002925A3"/>
    <w:rsid w:val="002929D2"/>
    <w:rsid w:val="00292CD2"/>
    <w:rsid w:val="00292D02"/>
    <w:rsid w:val="00292E9D"/>
    <w:rsid w:val="00293B57"/>
    <w:rsid w:val="002946A0"/>
    <w:rsid w:val="00294EF9"/>
    <w:rsid w:val="00295096"/>
    <w:rsid w:val="00295F3A"/>
    <w:rsid w:val="002963E1"/>
    <w:rsid w:val="00296FE6"/>
    <w:rsid w:val="00297509"/>
    <w:rsid w:val="00297A90"/>
    <w:rsid w:val="002A028E"/>
    <w:rsid w:val="002A0D7F"/>
    <w:rsid w:val="002A179A"/>
    <w:rsid w:val="002A17CC"/>
    <w:rsid w:val="002A1E35"/>
    <w:rsid w:val="002A3403"/>
    <w:rsid w:val="002A3D5A"/>
    <w:rsid w:val="002A40E9"/>
    <w:rsid w:val="002A49FB"/>
    <w:rsid w:val="002A4D75"/>
    <w:rsid w:val="002A5008"/>
    <w:rsid w:val="002A62D4"/>
    <w:rsid w:val="002A710F"/>
    <w:rsid w:val="002A7AA1"/>
    <w:rsid w:val="002B072C"/>
    <w:rsid w:val="002B0BE2"/>
    <w:rsid w:val="002B0FF6"/>
    <w:rsid w:val="002B23CF"/>
    <w:rsid w:val="002B2BA2"/>
    <w:rsid w:val="002B30BF"/>
    <w:rsid w:val="002B369B"/>
    <w:rsid w:val="002B3C61"/>
    <w:rsid w:val="002B406A"/>
    <w:rsid w:val="002B4131"/>
    <w:rsid w:val="002B43A4"/>
    <w:rsid w:val="002B49BD"/>
    <w:rsid w:val="002B4C6A"/>
    <w:rsid w:val="002B64B9"/>
    <w:rsid w:val="002B6B95"/>
    <w:rsid w:val="002B6CDE"/>
    <w:rsid w:val="002B6E33"/>
    <w:rsid w:val="002B7413"/>
    <w:rsid w:val="002B77FE"/>
    <w:rsid w:val="002C0283"/>
    <w:rsid w:val="002C09FC"/>
    <w:rsid w:val="002C0A0E"/>
    <w:rsid w:val="002C0F93"/>
    <w:rsid w:val="002C1AA2"/>
    <w:rsid w:val="002C26D0"/>
    <w:rsid w:val="002C5B75"/>
    <w:rsid w:val="002C5F17"/>
    <w:rsid w:val="002C64E8"/>
    <w:rsid w:val="002C659C"/>
    <w:rsid w:val="002C6934"/>
    <w:rsid w:val="002C69B6"/>
    <w:rsid w:val="002C739F"/>
    <w:rsid w:val="002C7A07"/>
    <w:rsid w:val="002C7AF8"/>
    <w:rsid w:val="002C7EEE"/>
    <w:rsid w:val="002D014F"/>
    <w:rsid w:val="002D0DB3"/>
    <w:rsid w:val="002D0FDF"/>
    <w:rsid w:val="002D1644"/>
    <w:rsid w:val="002D1712"/>
    <w:rsid w:val="002D185B"/>
    <w:rsid w:val="002D2D0E"/>
    <w:rsid w:val="002D2D8C"/>
    <w:rsid w:val="002D3F50"/>
    <w:rsid w:val="002D4CA1"/>
    <w:rsid w:val="002D4CD1"/>
    <w:rsid w:val="002D610C"/>
    <w:rsid w:val="002D62D8"/>
    <w:rsid w:val="002D685D"/>
    <w:rsid w:val="002D71CD"/>
    <w:rsid w:val="002D76A2"/>
    <w:rsid w:val="002D7B4A"/>
    <w:rsid w:val="002E0257"/>
    <w:rsid w:val="002E0294"/>
    <w:rsid w:val="002E0FD0"/>
    <w:rsid w:val="002E1143"/>
    <w:rsid w:val="002E1455"/>
    <w:rsid w:val="002E153D"/>
    <w:rsid w:val="002E1A89"/>
    <w:rsid w:val="002E1CBA"/>
    <w:rsid w:val="002E1D7C"/>
    <w:rsid w:val="002E1F06"/>
    <w:rsid w:val="002E353A"/>
    <w:rsid w:val="002E4680"/>
    <w:rsid w:val="002E46F4"/>
    <w:rsid w:val="002E5394"/>
    <w:rsid w:val="002E54D7"/>
    <w:rsid w:val="002E562C"/>
    <w:rsid w:val="002E68E0"/>
    <w:rsid w:val="002E6AA4"/>
    <w:rsid w:val="002E70DE"/>
    <w:rsid w:val="002F0CF1"/>
    <w:rsid w:val="002F0E78"/>
    <w:rsid w:val="002F0EF5"/>
    <w:rsid w:val="002F134B"/>
    <w:rsid w:val="002F150C"/>
    <w:rsid w:val="002F1986"/>
    <w:rsid w:val="002F211E"/>
    <w:rsid w:val="002F23F5"/>
    <w:rsid w:val="002F257F"/>
    <w:rsid w:val="002F2618"/>
    <w:rsid w:val="002F321F"/>
    <w:rsid w:val="002F5F2B"/>
    <w:rsid w:val="002F60AE"/>
    <w:rsid w:val="002F6C94"/>
    <w:rsid w:val="002F6CAC"/>
    <w:rsid w:val="002F7603"/>
    <w:rsid w:val="002F7730"/>
    <w:rsid w:val="003003F9"/>
    <w:rsid w:val="00300F6F"/>
    <w:rsid w:val="00301820"/>
    <w:rsid w:val="0030205B"/>
    <w:rsid w:val="003037E0"/>
    <w:rsid w:val="003039A9"/>
    <w:rsid w:val="00303DAF"/>
    <w:rsid w:val="00304302"/>
    <w:rsid w:val="00304638"/>
    <w:rsid w:val="00304979"/>
    <w:rsid w:val="00305658"/>
    <w:rsid w:val="00305B1F"/>
    <w:rsid w:val="0030651B"/>
    <w:rsid w:val="00306D14"/>
    <w:rsid w:val="003073CC"/>
    <w:rsid w:val="00311503"/>
    <w:rsid w:val="003116E4"/>
    <w:rsid w:val="0031256E"/>
    <w:rsid w:val="00312D86"/>
    <w:rsid w:val="00312E64"/>
    <w:rsid w:val="003138A3"/>
    <w:rsid w:val="00313DEB"/>
    <w:rsid w:val="0031420C"/>
    <w:rsid w:val="003144AB"/>
    <w:rsid w:val="00315043"/>
    <w:rsid w:val="00316328"/>
    <w:rsid w:val="00316504"/>
    <w:rsid w:val="00317B32"/>
    <w:rsid w:val="00317C11"/>
    <w:rsid w:val="0032018F"/>
    <w:rsid w:val="003201CA"/>
    <w:rsid w:val="00320A39"/>
    <w:rsid w:val="003224D3"/>
    <w:rsid w:val="0032256A"/>
    <w:rsid w:val="00323216"/>
    <w:rsid w:val="00324253"/>
    <w:rsid w:val="00324715"/>
    <w:rsid w:val="00325AD3"/>
    <w:rsid w:val="00325B38"/>
    <w:rsid w:val="00325BFA"/>
    <w:rsid w:val="00325D58"/>
    <w:rsid w:val="00325E32"/>
    <w:rsid w:val="003262A3"/>
    <w:rsid w:val="003265AB"/>
    <w:rsid w:val="00326C69"/>
    <w:rsid w:val="0032725E"/>
    <w:rsid w:val="003276C8"/>
    <w:rsid w:val="003277AF"/>
    <w:rsid w:val="00327F25"/>
    <w:rsid w:val="00330773"/>
    <w:rsid w:val="003311BE"/>
    <w:rsid w:val="003313B8"/>
    <w:rsid w:val="0033215A"/>
    <w:rsid w:val="0033229D"/>
    <w:rsid w:val="00332927"/>
    <w:rsid w:val="00332FEB"/>
    <w:rsid w:val="003334C0"/>
    <w:rsid w:val="00333B8A"/>
    <w:rsid w:val="0033419C"/>
    <w:rsid w:val="00334A89"/>
    <w:rsid w:val="0033589B"/>
    <w:rsid w:val="00335E6E"/>
    <w:rsid w:val="00336020"/>
    <w:rsid w:val="0033627B"/>
    <w:rsid w:val="00336823"/>
    <w:rsid w:val="003369F9"/>
    <w:rsid w:val="003375AF"/>
    <w:rsid w:val="00340790"/>
    <w:rsid w:val="00340BC2"/>
    <w:rsid w:val="003412FF"/>
    <w:rsid w:val="00341B69"/>
    <w:rsid w:val="0034202A"/>
    <w:rsid w:val="00342303"/>
    <w:rsid w:val="003427AA"/>
    <w:rsid w:val="003442D9"/>
    <w:rsid w:val="00344524"/>
    <w:rsid w:val="00344A24"/>
    <w:rsid w:val="00344E4D"/>
    <w:rsid w:val="00345075"/>
    <w:rsid w:val="00346637"/>
    <w:rsid w:val="00346C90"/>
    <w:rsid w:val="00346E3C"/>
    <w:rsid w:val="0034720B"/>
    <w:rsid w:val="00347474"/>
    <w:rsid w:val="00347A54"/>
    <w:rsid w:val="003503DE"/>
    <w:rsid w:val="003508EF"/>
    <w:rsid w:val="00350ABC"/>
    <w:rsid w:val="00350C03"/>
    <w:rsid w:val="003513B1"/>
    <w:rsid w:val="00351608"/>
    <w:rsid w:val="00351BB8"/>
    <w:rsid w:val="0035232B"/>
    <w:rsid w:val="00352CE9"/>
    <w:rsid w:val="00352D82"/>
    <w:rsid w:val="00353069"/>
    <w:rsid w:val="003534DF"/>
    <w:rsid w:val="00353E52"/>
    <w:rsid w:val="00353F05"/>
    <w:rsid w:val="00354CA5"/>
    <w:rsid w:val="00355278"/>
    <w:rsid w:val="00355384"/>
    <w:rsid w:val="0035656A"/>
    <w:rsid w:val="00357957"/>
    <w:rsid w:val="003605A2"/>
    <w:rsid w:val="00360AB8"/>
    <w:rsid w:val="0036130B"/>
    <w:rsid w:val="00362041"/>
    <w:rsid w:val="003623AF"/>
    <w:rsid w:val="00363AC1"/>
    <w:rsid w:val="0036413C"/>
    <w:rsid w:val="00364802"/>
    <w:rsid w:val="00364B4E"/>
    <w:rsid w:val="00365E9A"/>
    <w:rsid w:val="0036651D"/>
    <w:rsid w:val="00366B85"/>
    <w:rsid w:val="00367AF0"/>
    <w:rsid w:val="003707FD"/>
    <w:rsid w:val="003708B7"/>
    <w:rsid w:val="00371023"/>
    <w:rsid w:val="0037103E"/>
    <w:rsid w:val="00371628"/>
    <w:rsid w:val="00371A10"/>
    <w:rsid w:val="0037380C"/>
    <w:rsid w:val="00373B8A"/>
    <w:rsid w:val="00374D22"/>
    <w:rsid w:val="00375E84"/>
    <w:rsid w:val="00376D58"/>
    <w:rsid w:val="003773A6"/>
    <w:rsid w:val="0038130D"/>
    <w:rsid w:val="00381970"/>
    <w:rsid w:val="00383ACC"/>
    <w:rsid w:val="0038433C"/>
    <w:rsid w:val="00384625"/>
    <w:rsid w:val="00384C15"/>
    <w:rsid w:val="003859A7"/>
    <w:rsid w:val="00385FC8"/>
    <w:rsid w:val="00386722"/>
    <w:rsid w:val="0038796C"/>
    <w:rsid w:val="0039062A"/>
    <w:rsid w:val="003907F8"/>
    <w:rsid w:val="00391193"/>
    <w:rsid w:val="00391443"/>
    <w:rsid w:val="003915DF"/>
    <w:rsid w:val="00392107"/>
    <w:rsid w:val="00392A4B"/>
    <w:rsid w:val="00393599"/>
    <w:rsid w:val="003946BB"/>
    <w:rsid w:val="003948CF"/>
    <w:rsid w:val="00394AEC"/>
    <w:rsid w:val="00396478"/>
    <w:rsid w:val="00396932"/>
    <w:rsid w:val="00397ABE"/>
    <w:rsid w:val="003A03D0"/>
    <w:rsid w:val="003A0479"/>
    <w:rsid w:val="003A148F"/>
    <w:rsid w:val="003A1721"/>
    <w:rsid w:val="003A1956"/>
    <w:rsid w:val="003A195E"/>
    <w:rsid w:val="003A2DA9"/>
    <w:rsid w:val="003A32A4"/>
    <w:rsid w:val="003A3353"/>
    <w:rsid w:val="003A3FF7"/>
    <w:rsid w:val="003A4639"/>
    <w:rsid w:val="003A4B45"/>
    <w:rsid w:val="003A50D2"/>
    <w:rsid w:val="003A5938"/>
    <w:rsid w:val="003A5986"/>
    <w:rsid w:val="003A5A79"/>
    <w:rsid w:val="003A5BEE"/>
    <w:rsid w:val="003A5FC9"/>
    <w:rsid w:val="003A617E"/>
    <w:rsid w:val="003A658F"/>
    <w:rsid w:val="003A6BFF"/>
    <w:rsid w:val="003B047B"/>
    <w:rsid w:val="003B1BCF"/>
    <w:rsid w:val="003B20B5"/>
    <w:rsid w:val="003B2363"/>
    <w:rsid w:val="003B2C40"/>
    <w:rsid w:val="003B2FD2"/>
    <w:rsid w:val="003B3BFA"/>
    <w:rsid w:val="003B42CB"/>
    <w:rsid w:val="003B4397"/>
    <w:rsid w:val="003B448E"/>
    <w:rsid w:val="003B48D3"/>
    <w:rsid w:val="003B4ADB"/>
    <w:rsid w:val="003B4C78"/>
    <w:rsid w:val="003B4FDD"/>
    <w:rsid w:val="003B5467"/>
    <w:rsid w:val="003B622D"/>
    <w:rsid w:val="003B7932"/>
    <w:rsid w:val="003C0679"/>
    <w:rsid w:val="003C0B6E"/>
    <w:rsid w:val="003C13C0"/>
    <w:rsid w:val="003C1A52"/>
    <w:rsid w:val="003C2FDC"/>
    <w:rsid w:val="003C3D09"/>
    <w:rsid w:val="003C44E8"/>
    <w:rsid w:val="003C4970"/>
    <w:rsid w:val="003C4AE0"/>
    <w:rsid w:val="003C4EEF"/>
    <w:rsid w:val="003C5053"/>
    <w:rsid w:val="003C58C4"/>
    <w:rsid w:val="003C58D2"/>
    <w:rsid w:val="003C624B"/>
    <w:rsid w:val="003C6956"/>
    <w:rsid w:val="003C71B9"/>
    <w:rsid w:val="003C7585"/>
    <w:rsid w:val="003D0BB0"/>
    <w:rsid w:val="003D1605"/>
    <w:rsid w:val="003D1BA2"/>
    <w:rsid w:val="003D2145"/>
    <w:rsid w:val="003D219F"/>
    <w:rsid w:val="003D3556"/>
    <w:rsid w:val="003D4870"/>
    <w:rsid w:val="003D4D8B"/>
    <w:rsid w:val="003D6065"/>
    <w:rsid w:val="003D61EE"/>
    <w:rsid w:val="003D6825"/>
    <w:rsid w:val="003D6BDF"/>
    <w:rsid w:val="003D6DE1"/>
    <w:rsid w:val="003D7272"/>
    <w:rsid w:val="003E0B62"/>
    <w:rsid w:val="003E0EE3"/>
    <w:rsid w:val="003E1D7E"/>
    <w:rsid w:val="003E3778"/>
    <w:rsid w:val="003E385B"/>
    <w:rsid w:val="003E4BD1"/>
    <w:rsid w:val="003E644A"/>
    <w:rsid w:val="003E702F"/>
    <w:rsid w:val="003E73BB"/>
    <w:rsid w:val="003E785F"/>
    <w:rsid w:val="003E7986"/>
    <w:rsid w:val="003E7A57"/>
    <w:rsid w:val="003F16B0"/>
    <w:rsid w:val="003F1ACB"/>
    <w:rsid w:val="003F1AD2"/>
    <w:rsid w:val="003F208F"/>
    <w:rsid w:val="003F2537"/>
    <w:rsid w:val="003F2BF4"/>
    <w:rsid w:val="003F3E73"/>
    <w:rsid w:val="003F595E"/>
    <w:rsid w:val="003F5967"/>
    <w:rsid w:val="003F6678"/>
    <w:rsid w:val="003F71CD"/>
    <w:rsid w:val="003F7541"/>
    <w:rsid w:val="003F76C7"/>
    <w:rsid w:val="003F772A"/>
    <w:rsid w:val="003F7F84"/>
    <w:rsid w:val="004012BF"/>
    <w:rsid w:val="004015DC"/>
    <w:rsid w:val="00401B9A"/>
    <w:rsid w:val="00402042"/>
    <w:rsid w:val="004021AA"/>
    <w:rsid w:val="0040240A"/>
    <w:rsid w:val="00402754"/>
    <w:rsid w:val="00402916"/>
    <w:rsid w:val="004032B8"/>
    <w:rsid w:val="0040346C"/>
    <w:rsid w:val="0040385A"/>
    <w:rsid w:val="0040388B"/>
    <w:rsid w:val="00404F6A"/>
    <w:rsid w:val="00404FB1"/>
    <w:rsid w:val="004057F8"/>
    <w:rsid w:val="0040629B"/>
    <w:rsid w:val="004068F8"/>
    <w:rsid w:val="00406FA8"/>
    <w:rsid w:val="004074DD"/>
    <w:rsid w:val="00410C15"/>
    <w:rsid w:val="0041166E"/>
    <w:rsid w:val="00411F4C"/>
    <w:rsid w:val="00412359"/>
    <w:rsid w:val="004125AD"/>
    <w:rsid w:val="00413CB8"/>
    <w:rsid w:val="00415B72"/>
    <w:rsid w:val="004160B8"/>
    <w:rsid w:val="0041785C"/>
    <w:rsid w:val="004202E1"/>
    <w:rsid w:val="00420CDA"/>
    <w:rsid w:val="004220F7"/>
    <w:rsid w:val="00423724"/>
    <w:rsid w:val="00423988"/>
    <w:rsid w:val="00423B32"/>
    <w:rsid w:val="00423D01"/>
    <w:rsid w:val="004242AC"/>
    <w:rsid w:val="00424528"/>
    <w:rsid w:val="00424667"/>
    <w:rsid w:val="004248EF"/>
    <w:rsid w:val="00424B23"/>
    <w:rsid w:val="00425D53"/>
    <w:rsid w:val="00426CE7"/>
    <w:rsid w:val="004273A3"/>
    <w:rsid w:val="00427C94"/>
    <w:rsid w:val="00430719"/>
    <w:rsid w:val="0043079C"/>
    <w:rsid w:val="00430CF1"/>
    <w:rsid w:val="00431D99"/>
    <w:rsid w:val="004321CE"/>
    <w:rsid w:val="004324D2"/>
    <w:rsid w:val="00432D61"/>
    <w:rsid w:val="00435B17"/>
    <w:rsid w:val="004360F7"/>
    <w:rsid w:val="00436471"/>
    <w:rsid w:val="00436998"/>
    <w:rsid w:val="00436AF8"/>
    <w:rsid w:val="0043719C"/>
    <w:rsid w:val="004375ED"/>
    <w:rsid w:val="00437B85"/>
    <w:rsid w:val="0044003F"/>
    <w:rsid w:val="004402B2"/>
    <w:rsid w:val="004406A9"/>
    <w:rsid w:val="0044075C"/>
    <w:rsid w:val="0044167C"/>
    <w:rsid w:val="004426DD"/>
    <w:rsid w:val="004429DB"/>
    <w:rsid w:val="00442B9E"/>
    <w:rsid w:val="00443789"/>
    <w:rsid w:val="004437D4"/>
    <w:rsid w:val="00443834"/>
    <w:rsid w:val="00443C9B"/>
    <w:rsid w:val="00443F79"/>
    <w:rsid w:val="004449CB"/>
    <w:rsid w:val="00444B6F"/>
    <w:rsid w:val="00444C3A"/>
    <w:rsid w:val="004456C7"/>
    <w:rsid w:val="00445B2A"/>
    <w:rsid w:val="00445D5F"/>
    <w:rsid w:val="00446223"/>
    <w:rsid w:val="0044648F"/>
    <w:rsid w:val="004466EC"/>
    <w:rsid w:val="004467BD"/>
    <w:rsid w:val="0044719B"/>
    <w:rsid w:val="00447597"/>
    <w:rsid w:val="00447941"/>
    <w:rsid w:val="00447EA5"/>
    <w:rsid w:val="004505CD"/>
    <w:rsid w:val="00450936"/>
    <w:rsid w:val="00451A1E"/>
    <w:rsid w:val="0045217A"/>
    <w:rsid w:val="00455C59"/>
    <w:rsid w:val="0045624C"/>
    <w:rsid w:val="00456491"/>
    <w:rsid w:val="004567C1"/>
    <w:rsid w:val="00456C45"/>
    <w:rsid w:val="004601EC"/>
    <w:rsid w:val="00460A5E"/>
    <w:rsid w:val="004611D4"/>
    <w:rsid w:val="00461D8E"/>
    <w:rsid w:val="00462851"/>
    <w:rsid w:val="00462AD5"/>
    <w:rsid w:val="00462D44"/>
    <w:rsid w:val="004638FB"/>
    <w:rsid w:val="004646FC"/>
    <w:rsid w:val="00464741"/>
    <w:rsid w:val="004651DB"/>
    <w:rsid w:val="00465DD2"/>
    <w:rsid w:val="00466020"/>
    <w:rsid w:val="004665DA"/>
    <w:rsid w:val="004667E5"/>
    <w:rsid w:val="004712E0"/>
    <w:rsid w:val="004713CB"/>
    <w:rsid w:val="00472003"/>
    <w:rsid w:val="00472A4F"/>
    <w:rsid w:val="00472D88"/>
    <w:rsid w:val="00473590"/>
    <w:rsid w:val="00473828"/>
    <w:rsid w:val="00473BFB"/>
    <w:rsid w:val="004744E1"/>
    <w:rsid w:val="0047619C"/>
    <w:rsid w:val="004763B1"/>
    <w:rsid w:val="00476D4A"/>
    <w:rsid w:val="00477099"/>
    <w:rsid w:val="00477C59"/>
    <w:rsid w:val="00477EB8"/>
    <w:rsid w:val="00480A20"/>
    <w:rsid w:val="00480FF6"/>
    <w:rsid w:val="004814DE"/>
    <w:rsid w:val="00481CFC"/>
    <w:rsid w:val="00481D1D"/>
    <w:rsid w:val="0048205B"/>
    <w:rsid w:val="0048215A"/>
    <w:rsid w:val="004836E8"/>
    <w:rsid w:val="004843E6"/>
    <w:rsid w:val="004853AD"/>
    <w:rsid w:val="00485A0D"/>
    <w:rsid w:val="0048601E"/>
    <w:rsid w:val="0048610F"/>
    <w:rsid w:val="004861FA"/>
    <w:rsid w:val="00486740"/>
    <w:rsid w:val="00486829"/>
    <w:rsid w:val="00487987"/>
    <w:rsid w:val="004879BC"/>
    <w:rsid w:val="00487F31"/>
    <w:rsid w:val="00487F38"/>
    <w:rsid w:val="004904E8"/>
    <w:rsid w:val="00490986"/>
    <w:rsid w:val="004910E5"/>
    <w:rsid w:val="004913B0"/>
    <w:rsid w:val="00491635"/>
    <w:rsid w:val="00491974"/>
    <w:rsid w:val="00491A16"/>
    <w:rsid w:val="00492252"/>
    <w:rsid w:val="0049262C"/>
    <w:rsid w:val="00492989"/>
    <w:rsid w:val="00494641"/>
    <w:rsid w:val="004947EF"/>
    <w:rsid w:val="00494C94"/>
    <w:rsid w:val="00495D7A"/>
    <w:rsid w:val="00495F82"/>
    <w:rsid w:val="0049674C"/>
    <w:rsid w:val="00496877"/>
    <w:rsid w:val="00496C3E"/>
    <w:rsid w:val="00497384"/>
    <w:rsid w:val="00497911"/>
    <w:rsid w:val="004A1159"/>
    <w:rsid w:val="004A1A99"/>
    <w:rsid w:val="004A1E38"/>
    <w:rsid w:val="004A1FD9"/>
    <w:rsid w:val="004A227F"/>
    <w:rsid w:val="004A2C42"/>
    <w:rsid w:val="004A3363"/>
    <w:rsid w:val="004A3D77"/>
    <w:rsid w:val="004A3F8E"/>
    <w:rsid w:val="004A41C7"/>
    <w:rsid w:val="004A4B8A"/>
    <w:rsid w:val="004A5015"/>
    <w:rsid w:val="004A50CB"/>
    <w:rsid w:val="004A563E"/>
    <w:rsid w:val="004A5BC7"/>
    <w:rsid w:val="004A5CE6"/>
    <w:rsid w:val="004A5F91"/>
    <w:rsid w:val="004A6FB2"/>
    <w:rsid w:val="004B09B9"/>
    <w:rsid w:val="004B0E90"/>
    <w:rsid w:val="004B0FC3"/>
    <w:rsid w:val="004B1070"/>
    <w:rsid w:val="004B10CA"/>
    <w:rsid w:val="004B1A97"/>
    <w:rsid w:val="004B1AF7"/>
    <w:rsid w:val="004B1ED8"/>
    <w:rsid w:val="004B35C6"/>
    <w:rsid w:val="004B39B8"/>
    <w:rsid w:val="004B4396"/>
    <w:rsid w:val="004B4F66"/>
    <w:rsid w:val="004B517F"/>
    <w:rsid w:val="004B621E"/>
    <w:rsid w:val="004B62BC"/>
    <w:rsid w:val="004B66C6"/>
    <w:rsid w:val="004B73D3"/>
    <w:rsid w:val="004B73D7"/>
    <w:rsid w:val="004B7804"/>
    <w:rsid w:val="004C05EB"/>
    <w:rsid w:val="004C2AE9"/>
    <w:rsid w:val="004C2CC2"/>
    <w:rsid w:val="004C4890"/>
    <w:rsid w:val="004C5633"/>
    <w:rsid w:val="004C57B8"/>
    <w:rsid w:val="004C6965"/>
    <w:rsid w:val="004C6F6C"/>
    <w:rsid w:val="004D11C8"/>
    <w:rsid w:val="004D11F2"/>
    <w:rsid w:val="004D14B5"/>
    <w:rsid w:val="004D1AAE"/>
    <w:rsid w:val="004D1D87"/>
    <w:rsid w:val="004D2C00"/>
    <w:rsid w:val="004D38DD"/>
    <w:rsid w:val="004D3E9A"/>
    <w:rsid w:val="004D5155"/>
    <w:rsid w:val="004D53FE"/>
    <w:rsid w:val="004D573A"/>
    <w:rsid w:val="004D6B2E"/>
    <w:rsid w:val="004D6FE3"/>
    <w:rsid w:val="004D7763"/>
    <w:rsid w:val="004E0153"/>
    <w:rsid w:val="004E0601"/>
    <w:rsid w:val="004E0D4D"/>
    <w:rsid w:val="004E103F"/>
    <w:rsid w:val="004E1D2A"/>
    <w:rsid w:val="004E1F58"/>
    <w:rsid w:val="004E26D8"/>
    <w:rsid w:val="004E294F"/>
    <w:rsid w:val="004E2B9B"/>
    <w:rsid w:val="004E2F64"/>
    <w:rsid w:val="004E39CE"/>
    <w:rsid w:val="004E3B11"/>
    <w:rsid w:val="004E3FE1"/>
    <w:rsid w:val="004E47B7"/>
    <w:rsid w:val="004E48F3"/>
    <w:rsid w:val="004E5781"/>
    <w:rsid w:val="004E5B25"/>
    <w:rsid w:val="004E5BC7"/>
    <w:rsid w:val="004E5D9C"/>
    <w:rsid w:val="004E68CD"/>
    <w:rsid w:val="004E700B"/>
    <w:rsid w:val="004E736E"/>
    <w:rsid w:val="004E7FAD"/>
    <w:rsid w:val="004F0382"/>
    <w:rsid w:val="004F0AAD"/>
    <w:rsid w:val="004F0B5C"/>
    <w:rsid w:val="004F0C7B"/>
    <w:rsid w:val="004F12B8"/>
    <w:rsid w:val="004F171D"/>
    <w:rsid w:val="004F1968"/>
    <w:rsid w:val="004F1D57"/>
    <w:rsid w:val="004F1DC6"/>
    <w:rsid w:val="004F3064"/>
    <w:rsid w:val="004F3329"/>
    <w:rsid w:val="004F4A1C"/>
    <w:rsid w:val="004F4BED"/>
    <w:rsid w:val="004F5738"/>
    <w:rsid w:val="004F5ABE"/>
    <w:rsid w:val="004F634D"/>
    <w:rsid w:val="004F655C"/>
    <w:rsid w:val="004F72CB"/>
    <w:rsid w:val="004F794D"/>
    <w:rsid w:val="004F7B37"/>
    <w:rsid w:val="004F7E26"/>
    <w:rsid w:val="004F7E5A"/>
    <w:rsid w:val="005004AF"/>
    <w:rsid w:val="00500EC3"/>
    <w:rsid w:val="00500F91"/>
    <w:rsid w:val="005013D4"/>
    <w:rsid w:val="005016F5"/>
    <w:rsid w:val="0050175E"/>
    <w:rsid w:val="00501C1C"/>
    <w:rsid w:val="00501FFA"/>
    <w:rsid w:val="0050244C"/>
    <w:rsid w:val="00502936"/>
    <w:rsid w:val="00502B03"/>
    <w:rsid w:val="00503280"/>
    <w:rsid w:val="00503F52"/>
    <w:rsid w:val="00504A9A"/>
    <w:rsid w:val="00504AF6"/>
    <w:rsid w:val="00505D65"/>
    <w:rsid w:val="005062CB"/>
    <w:rsid w:val="00506792"/>
    <w:rsid w:val="00506D62"/>
    <w:rsid w:val="00510135"/>
    <w:rsid w:val="005109B3"/>
    <w:rsid w:val="0051103C"/>
    <w:rsid w:val="00512000"/>
    <w:rsid w:val="00513CC9"/>
    <w:rsid w:val="00514126"/>
    <w:rsid w:val="0051446B"/>
    <w:rsid w:val="00516541"/>
    <w:rsid w:val="00516564"/>
    <w:rsid w:val="005167B9"/>
    <w:rsid w:val="00517349"/>
    <w:rsid w:val="00517986"/>
    <w:rsid w:val="005179C1"/>
    <w:rsid w:val="005179D9"/>
    <w:rsid w:val="00517E99"/>
    <w:rsid w:val="00520719"/>
    <w:rsid w:val="0052079E"/>
    <w:rsid w:val="00521003"/>
    <w:rsid w:val="00521D63"/>
    <w:rsid w:val="00521E83"/>
    <w:rsid w:val="00522ABB"/>
    <w:rsid w:val="00522EDA"/>
    <w:rsid w:val="00522FEA"/>
    <w:rsid w:val="00523C1B"/>
    <w:rsid w:val="00524111"/>
    <w:rsid w:val="0052458D"/>
    <w:rsid w:val="005256E9"/>
    <w:rsid w:val="00525A13"/>
    <w:rsid w:val="00525D8C"/>
    <w:rsid w:val="00526270"/>
    <w:rsid w:val="005262F2"/>
    <w:rsid w:val="00526AFA"/>
    <w:rsid w:val="005307A8"/>
    <w:rsid w:val="0053092F"/>
    <w:rsid w:val="00530B27"/>
    <w:rsid w:val="00531926"/>
    <w:rsid w:val="0053204D"/>
    <w:rsid w:val="00533250"/>
    <w:rsid w:val="00533910"/>
    <w:rsid w:val="00533CB2"/>
    <w:rsid w:val="00534094"/>
    <w:rsid w:val="00534805"/>
    <w:rsid w:val="005353A9"/>
    <w:rsid w:val="005357E0"/>
    <w:rsid w:val="0053607A"/>
    <w:rsid w:val="005368FA"/>
    <w:rsid w:val="005374BE"/>
    <w:rsid w:val="00540476"/>
    <w:rsid w:val="00540F30"/>
    <w:rsid w:val="00541071"/>
    <w:rsid w:val="00541224"/>
    <w:rsid w:val="00541498"/>
    <w:rsid w:val="00541662"/>
    <w:rsid w:val="00541CB0"/>
    <w:rsid w:val="00542165"/>
    <w:rsid w:val="00542D78"/>
    <w:rsid w:val="00542E64"/>
    <w:rsid w:val="005435B8"/>
    <w:rsid w:val="00543CC4"/>
    <w:rsid w:val="005443DB"/>
    <w:rsid w:val="00544423"/>
    <w:rsid w:val="0054647A"/>
    <w:rsid w:val="00547453"/>
    <w:rsid w:val="005477C1"/>
    <w:rsid w:val="005507E0"/>
    <w:rsid w:val="00551030"/>
    <w:rsid w:val="0055254D"/>
    <w:rsid w:val="00553938"/>
    <w:rsid w:val="005558A4"/>
    <w:rsid w:val="00555AA6"/>
    <w:rsid w:val="00555B5F"/>
    <w:rsid w:val="00556DAE"/>
    <w:rsid w:val="005570F1"/>
    <w:rsid w:val="00560114"/>
    <w:rsid w:val="00560550"/>
    <w:rsid w:val="005609CF"/>
    <w:rsid w:val="00561C57"/>
    <w:rsid w:val="0056233B"/>
    <w:rsid w:val="00562987"/>
    <w:rsid w:val="0056317F"/>
    <w:rsid w:val="00563B43"/>
    <w:rsid w:val="00564316"/>
    <w:rsid w:val="00565FA4"/>
    <w:rsid w:val="00566925"/>
    <w:rsid w:val="00566F45"/>
    <w:rsid w:val="00567054"/>
    <w:rsid w:val="005674B3"/>
    <w:rsid w:val="00567EA2"/>
    <w:rsid w:val="00567ED6"/>
    <w:rsid w:val="0057065D"/>
    <w:rsid w:val="00570951"/>
    <w:rsid w:val="00570A42"/>
    <w:rsid w:val="00570ACA"/>
    <w:rsid w:val="00570BF1"/>
    <w:rsid w:val="005712D1"/>
    <w:rsid w:val="00571708"/>
    <w:rsid w:val="00571C11"/>
    <w:rsid w:val="0057267F"/>
    <w:rsid w:val="00572D92"/>
    <w:rsid w:val="00573293"/>
    <w:rsid w:val="005734B0"/>
    <w:rsid w:val="00573CD8"/>
    <w:rsid w:val="005753DA"/>
    <w:rsid w:val="005754E8"/>
    <w:rsid w:val="00575BC6"/>
    <w:rsid w:val="00576CED"/>
    <w:rsid w:val="00577549"/>
    <w:rsid w:val="0058046D"/>
    <w:rsid w:val="00580870"/>
    <w:rsid w:val="0058110C"/>
    <w:rsid w:val="005816B1"/>
    <w:rsid w:val="00581B3B"/>
    <w:rsid w:val="005830F2"/>
    <w:rsid w:val="0058323F"/>
    <w:rsid w:val="005838D8"/>
    <w:rsid w:val="00584061"/>
    <w:rsid w:val="005840C1"/>
    <w:rsid w:val="00584295"/>
    <w:rsid w:val="00584302"/>
    <w:rsid w:val="00584570"/>
    <w:rsid w:val="005859CC"/>
    <w:rsid w:val="00586770"/>
    <w:rsid w:val="00586846"/>
    <w:rsid w:val="00586D10"/>
    <w:rsid w:val="005873A2"/>
    <w:rsid w:val="005901F4"/>
    <w:rsid w:val="00590864"/>
    <w:rsid w:val="00591614"/>
    <w:rsid w:val="00591DAB"/>
    <w:rsid w:val="00592443"/>
    <w:rsid w:val="005928BB"/>
    <w:rsid w:val="0059468E"/>
    <w:rsid w:val="00595233"/>
    <w:rsid w:val="00595250"/>
    <w:rsid w:val="0059551A"/>
    <w:rsid w:val="00595E68"/>
    <w:rsid w:val="005961C8"/>
    <w:rsid w:val="005965C9"/>
    <w:rsid w:val="00596F88"/>
    <w:rsid w:val="005972F0"/>
    <w:rsid w:val="0059785C"/>
    <w:rsid w:val="00597FD0"/>
    <w:rsid w:val="005A0C6A"/>
    <w:rsid w:val="005A2112"/>
    <w:rsid w:val="005A34E3"/>
    <w:rsid w:val="005A3B7E"/>
    <w:rsid w:val="005A49C8"/>
    <w:rsid w:val="005A5F9C"/>
    <w:rsid w:val="005A653C"/>
    <w:rsid w:val="005A694D"/>
    <w:rsid w:val="005A6A5C"/>
    <w:rsid w:val="005A6F39"/>
    <w:rsid w:val="005A759D"/>
    <w:rsid w:val="005A7F50"/>
    <w:rsid w:val="005A7F75"/>
    <w:rsid w:val="005B0280"/>
    <w:rsid w:val="005B0833"/>
    <w:rsid w:val="005B194F"/>
    <w:rsid w:val="005B1C1A"/>
    <w:rsid w:val="005B2147"/>
    <w:rsid w:val="005B2413"/>
    <w:rsid w:val="005B27ED"/>
    <w:rsid w:val="005B2871"/>
    <w:rsid w:val="005B2947"/>
    <w:rsid w:val="005B2BCF"/>
    <w:rsid w:val="005B342D"/>
    <w:rsid w:val="005B3796"/>
    <w:rsid w:val="005B3F47"/>
    <w:rsid w:val="005B4166"/>
    <w:rsid w:val="005B418B"/>
    <w:rsid w:val="005B4564"/>
    <w:rsid w:val="005B5170"/>
    <w:rsid w:val="005B6590"/>
    <w:rsid w:val="005B73D0"/>
    <w:rsid w:val="005C142B"/>
    <w:rsid w:val="005C1867"/>
    <w:rsid w:val="005C1B4D"/>
    <w:rsid w:val="005C1D04"/>
    <w:rsid w:val="005C352D"/>
    <w:rsid w:val="005C36F8"/>
    <w:rsid w:val="005C37F0"/>
    <w:rsid w:val="005C43C6"/>
    <w:rsid w:val="005C4AF3"/>
    <w:rsid w:val="005C5233"/>
    <w:rsid w:val="005C5AAD"/>
    <w:rsid w:val="005C65AD"/>
    <w:rsid w:val="005C67CC"/>
    <w:rsid w:val="005C67DB"/>
    <w:rsid w:val="005C723D"/>
    <w:rsid w:val="005C7D80"/>
    <w:rsid w:val="005D0021"/>
    <w:rsid w:val="005D041D"/>
    <w:rsid w:val="005D0537"/>
    <w:rsid w:val="005D0710"/>
    <w:rsid w:val="005D1F75"/>
    <w:rsid w:val="005D29EA"/>
    <w:rsid w:val="005D2EE3"/>
    <w:rsid w:val="005D2F8A"/>
    <w:rsid w:val="005D3443"/>
    <w:rsid w:val="005D39DD"/>
    <w:rsid w:val="005D3D54"/>
    <w:rsid w:val="005D43E9"/>
    <w:rsid w:val="005D46E9"/>
    <w:rsid w:val="005D4D96"/>
    <w:rsid w:val="005D507E"/>
    <w:rsid w:val="005D50E2"/>
    <w:rsid w:val="005D61B1"/>
    <w:rsid w:val="005D650D"/>
    <w:rsid w:val="005E006D"/>
    <w:rsid w:val="005E019E"/>
    <w:rsid w:val="005E05FF"/>
    <w:rsid w:val="005E0C39"/>
    <w:rsid w:val="005E1042"/>
    <w:rsid w:val="005E1285"/>
    <w:rsid w:val="005E1C97"/>
    <w:rsid w:val="005E1ED1"/>
    <w:rsid w:val="005E273D"/>
    <w:rsid w:val="005E278C"/>
    <w:rsid w:val="005E28B3"/>
    <w:rsid w:val="005E290C"/>
    <w:rsid w:val="005E3452"/>
    <w:rsid w:val="005E3D84"/>
    <w:rsid w:val="005E4752"/>
    <w:rsid w:val="005E52F9"/>
    <w:rsid w:val="005E570C"/>
    <w:rsid w:val="005E7436"/>
    <w:rsid w:val="005E78D5"/>
    <w:rsid w:val="005F0493"/>
    <w:rsid w:val="005F0C7C"/>
    <w:rsid w:val="005F1163"/>
    <w:rsid w:val="005F1DA9"/>
    <w:rsid w:val="005F24C0"/>
    <w:rsid w:val="005F251C"/>
    <w:rsid w:val="005F25A4"/>
    <w:rsid w:val="005F37F4"/>
    <w:rsid w:val="005F3E86"/>
    <w:rsid w:val="005F4387"/>
    <w:rsid w:val="005F4F1F"/>
    <w:rsid w:val="005F4FC0"/>
    <w:rsid w:val="005F53C1"/>
    <w:rsid w:val="005F5B63"/>
    <w:rsid w:val="005F606C"/>
    <w:rsid w:val="005F6721"/>
    <w:rsid w:val="005F7477"/>
    <w:rsid w:val="006012DF"/>
    <w:rsid w:val="0060166E"/>
    <w:rsid w:val="00601C09"/>
    <w:rsid w:val="006025D4"/>
    <w:rsid w:val="00602F82"/>
    <w:rsid w:val="00603201"/>
    <w:rsid w:val="00603533"/>
    <w:rsid w:val="00604742"/>
    <w:rsid w:val="00605407"/>
    <w:rsid w:val="00605C61"/>
    <w:rsid w:val="0060611B"/>
    <w:rsid w:val="00606583"/>
    <w:rsid w:val="00606902"/>
    <w:rsid w:val="00607092"/>
    <w:rsid w:val="0060742C"/>
    <w:rsid w:val="00607952"/>
    <w:rsid w:val="00610254"/>
    <w:rsid w:val="00610358"/>
    <w:rsid w:val="0061062D"/>
    <w:rsid w:val="00610726"/>
    <w:rsid w:val="006109E1"/>
    <w:rsid w:val="006112DC"/>
    <w:rsid w:val="00611FD5"/>
    <w:rsid w:val="0061303F"/>
    <w:rsid w:val="006131C1"/>
    <w:rsid w:val="0061376C"/>
    <w:rsid w:val="00613997"/>
    <w:rsid w:val="006145C4"/>
    <w:rsid w:val="0061505A"/>
    <w:rsid w:val="006159A7"/>
    <w:rsid w:val="0061684B"/>
    <w:rsid w:val="00616D4B"/>
    <w:rsid w:val="006177B0"/>
    <w:rsid w:val="00617ADC"/>
    <w:rsid w:val="00617C46"/>
    <w:rsid w:val="00617D31"/>
    <w:rsid w:val="00620180"/>
    <w:rsid w:val="00620672"/>
    <w:rsid w:val="006207E8"/>
    <w:rsid w:val="0062089F"/>
    <w:rsid w:val="006209E7"/>
    <w:rsid w:val="00620D51"/>
    <w:rsid w:val="00621CCB"/>
    <w:rsid w:val="0062211B"/>
    <w:rsid w:val="006222A0"/>
    <w:rsid w:val="00622391"/>
    <w:rsid w:val="00622916"/>
    <w:rsid w:val="00622D75"/>
    <w:rsid w:val="006231D7"/>
    <w:rsid w:val="006236C6"/>
    <w:rsid w:val="00623879"/>
    <w:rsid w:val="00623A1A"/>
    <w:rsid w:val="00624583"/>
    <w:rsid w:val="0062458F"/>
    <w:rsid w:val="00626414"/>
    <w:rsid w:val="00626B5A"/>
    <w:rsid w:val="00626FD0"/>
    <w:rsid w:val="0062736B"/>
    <w:rsid w:val="006273A8"/>
    <w:rsid w:val="006273B6"/>
    <w:rsid w:val="00627A9A"/>
    <w:rsid w:val="00627DAD"/>
    <w:rsid w:val="00630458"/>
    <w:rsid w:val="00630464"/>
    <w:rsid w:val="00631B4C"/>
    <w:rsid w:val="00631F7B"/>
    <w:rsid w:val="00634060"/>
    <w:rsid w:val="0063596F"/>
    <w:rsid w:val="00635DD7"/>
    <w:rsid w:val="00635FAD"/>
    <w:rsid w:val="0063622E"/>
    <w:rsid w:val="00637636"/>
    <w:rsid w:val="00640128"/>
    <w:rsid w:val="0064055A"/>
    <w:rsid w:val="00641431"/>
    <w:rsid w:val="006429EB"/>
    <w:rsid w:val="00642DD1"/>
    <w:rsid w:val="00643ABC"/>
    <w:rsid w:val="00643B78"/>
    <w:rsid w:val="00644007"/>
    <w:rsid w:val="00644865"/>
    <w:rsid w:val="0064593C"/>
    <w:rsid w:val="00650647"/>
    <w:rsid w:val="0065093B"/>
    <w:rsid w:val="00650C2D"/>
    <w:rsid w:val="00651487"/>
    <w:rsid w:val="00651521"/>
    <w:rsid w:val="00651943"/>
    <w:rsid w:val="00651C76"/>
    <w:rsid w:val="00653C83"/>
    <w:rsid w:val="00653D79"/>
    <w:rsid w:val="00654DC3"/>
    <w:rsid w:val="0065586A"/>
    <w:rsid w:val="00656082"/>
    <w:rsid w:val="0065619E"/>
    <w:rsid w:val="0065653E"/>
    <w:rsid w:val="00656E26"/>
    <w:rsid w:val="00656F21"/>
    <w:rsid w:val="00657D7F"/>
    <w:rsid w:val="00657D88"/>
    <w:rsid w:val="00657D96"/>
    <w:rsid w:val="00657E16"/>
    <w:rsid w:val="0066007F"/>
    <w:rsid w:val="006605F4"/>
    <w:rsid w:val="0066082F"/>
    <w:rsid w:val="00661063"/>
    <w:rsid w:val="00661B66"/>
    <w:rsid w:val="00662C54"/>
    <w:rsid w:val="00663427"/>
    <w:rsid w:val="00663620"/>
    <w:rsid w:val="00663FCE"/>
    <w:rsid w:val="0066461E"/>
    <w:rsid w:val="00664B7C"/>
    <w:rsid w:val="00664ED5"/>
    <w:rsid w:val="00665545"/>
    <w:rsid w:val="00665A73"/>
    <w:rsid w:val="006668AC"/>
    <w:rsid w:val="00666C52"/>
    <w:rsid w:val="006671FD"/>
    <w:rsid w:val="006678CE"/>
    <w:rsid w:val="006707B1"/>
    <w:rsid w:val="00670C2B"/>
    <w:rsid w:val="00672B2C"/>
    <w:rsid w:val="006767D5"/>
    <w:rsid w:val="00676BFB"/>
    <w:rsid w:val="006779B9"/>
    <w:rsid w:val="00677AEC"/>
    <w:rsid w:val="006810F5"/>
    <w:rsid w:val="00681C04"/>
    <w:rsid w:val="006837C6"/>
    <w:rsid w:val="00684303"/>
    <w:rsid w:val="0068438E"/>
    <w:rsid w:val="00684452"/>
    <w:rsid w:val="006844E8"/>
    <w:rsid w:val="00685F24"/>
    <w:rsid w:val="00686C6F"/>
    <w:rsid w:val="0068752D"/>
    <w:rsid w:val="00687790"/>
    <w:rsid w:val="00687B3C"/>
    <w:rsid w:val="00687F3F"/>
    <w:rsid w:val="006900B7"/>
    <w:rsid w:val="006919C5"/>
    <w:rsid w:val="0069201C"/>
    <w:rsid w:val="006927E5"/>
    <w:rsid w:val="0069284F"/>
    <w:rsid w:val="00692BB9"/>
    <w:rsid w:val="00693298"/>
    <w:rsid w:val="006935AD"/>
    <w:rsid w:val="00693B4E"/>
    <w:rsid w:val="0069415D"/>
    <w:rsid w:val="006959F5"/>
    <w:rsid w:val="00695BFE"/>
    <w:rsid w:val="00695EFE"/>
    <w:rsid w:val="00696AC3"/>
    <w:rsid w:val="00696F25"/>
    <w:rsid w:val="00696FE8"/>
    <w:rsid w:val="00697510"/>
    <w:rsid w:val="00697E09"/>
    <w:rsid w:val="006A1536"/>
    <w:rsid w:val="006A1F8E"/>
    <w:rsid w:val="006A2224"/>
    <w:rsid w:val="006A27DE"/>
    <w:rsid w:val="006A2861"/>
    <w:rsid w:val="006A3711"/>
    <w:rsid w:val="006A3731"/>
    <w:rsid w:val="006A3891"/>
    <w:rsid w:val="006A3933"/>
    <w:rsid w:val="006A399B"/>
    <w:rsid w:val="006A4455"/>
    <w:rsid w:val="006A5497"/>
    <w:rsid w:val="006A61C8"/>
    <w:rsid w:val="006A6AFD"/>
    <w:rsid w:val="006B02A4"/>
    <w:rsid w:val="006B0810"/>
    <w:rsid w:val="006B0D07"/>
    <w:rsid w:val="006B15B1"/>
    <w:rsid w:val="006B1A70"/>
    <w:rsid w:val="006B1EBA"/>
    <w:rsid w:val="006B2EB9"/>
    <w:rsid w:val="006B392A"/>
    <w:rsid w:val="006B3FEB"/>
    <w:rsid w:val="006B6FD5"/>
    <w:rsid w:val="006B71E9"/>
    <w:rsid w:val="006B75DF"/>
    <w:rsid w:val="006B7F63"/>
    <w:rsid w:val="006C087F"/>
    <w:rsid w:val="006C10FE"/>
    <w:rsid w:val="006C2F1F"/>
    <w:rsid w:val="006C2F47"/>
    <w:rsid w:val="006C3DA4"/>
    <w:rsid w:val="006C4BB8"/>
    <w:rsid w:val="006C5414"/>
    <w:rsid w:val="006C5446"/>
    <w:rsid w:val="006C5B12"/>
    <w:rsid w:val="006C5E99"/>
    <w:rsid w:val="006C60C4"/>
    <w:rsid w:val="006C6269"/>
    <w:rsid w:val="006C64B3"/>
    <w:rsid w:val="006C76FC"/>
    <w:rsid w:val="006C7D1D"/>
    <w:rsid w:val="006D02EE"/>
    <w:rsid w:val="006D09DE"/>
    <w:rsid w:val="006D1386"/>
    <w:rsid w:val="006D1C7F"/>
    <w:rsid w:val="006D1C9B"/>
    <w:rsid w:val="006D288C"/>
    <w:rsid w:val="006D2CB4"/>
    <w:rsid w:val="006D2E93"/>
    <w:rsid w:val="006D39F0"/>
    <w:rsid w:val="006D4A3B"/>
    <w:rsid w:val="006D4FBC"/>
    <w:rsid w:val="006D50D2"/>
    <w:rsid w:val="006D5480"/>
    <w:rsid w:val="006D58AF"/>
    <w:rsid w:val="006D5EA7"/>
    <w:rsid w:val="006D740A"/>
    <w:rsid w:val="006D7941"/>
    <w:rsid w:val="006D7F76"/>
    <w:rsid w:val="006D7F90"/>
    <w:rsid w:val="006D7FF8"/>
    <w:rsid w:val="006E029F"/>
    <w:rsid w:val="006E03F0"/>
    <w:rsid w:val="006E086B"/>
    <w:rsid w:val="006E10AF"/>
    <w:rsid w:val="006E3D76"/>
    <w:rsid w:val="006E44D4"/>
    <w:rsid w:val="006E508D"/>
    <w:rsid w:val="006E5BDA"/>
    <w:rsid w:val="006E6665"/>
    <w:rsid w:val="006E6E77"/>
    <w:rsid w:val="006E70C1"/>
    <w:rsid w:val="006F17CE"/>
    <w:rsid w:val="006F2568"/>
    <w:rsid w:val="006F274A"/>
    <w:rsid w:val="006F3F47"/>
    <w:rsid w:val="006F4244"/>
    <w:rsid w:val="006F582C"/>
    <w:rsid w:val="006F5DF6"/>
    <w:rsid w:val="006F621D"/>
    <w:rsid w:val="006F643E"/>
    <w:rsid w:val="006F6E1E"/>
    <w:rsid w:val="006F6FBC"/>
    <w:rsid w:val="006F734E"/>
    <w:rsid w:val="006F7905"/>
    <w:rsid w:val="006F7E86"/>
    <w:rsid w:val="0070008F"/>
    <w:rsid w:val="00700C57"/>
    <w:rsid w:val="00700C77"/>
    <w:rsid w:val="0070100A"/>
    <w:rsid w:val="007012A9"/>
    <w:rsid w:val="0070164A"/>
    <w:rsid w:val="0070288A"/>
    <w:rsid w:val="00702FA6"/>
    <w:rsid w:val="0070311A"/>
    <w:rsid w:val="00703194"/>
    <w:rsid w:val="00703265"/>
    <w:rsid w:val="0070364E"/>
    <w:rsid w:val="00703669"/>
    <w:rsid w:val="007044B2"/>
    <w:rsid w:val="00704C18"/>
    <w:rsid w:val="00704CFA"/>
    <w:rsid w:val="0070584A"/>
    <w:rsid w:val="007063BE"/>
    <w:rsid w:val="007066B4"/>
    <w:rsid w:val="00706856"/>
    <w:rsid w:val="007069FF"/>
    <w:rsid w:val="00710F71"/>
    <w:rsid w:val="0071123C"/>
    <w:rsid w:val="00711B0A"/>
    <w:rsid w:val="007127D7"/>
    <w:rsid w:val="0071292D"/>
    <w:rsid w:val="0071297E"/>
    <w:rsid w:val="007129E2"/>
    <w:rsid w:val="0071336E"/>
    <w:rsid w:val="00713394"/>
    <w:rsid w:val="007135E6"/>
    <w:rsid w:val="00713BBE"/>
    <w:rsid w:val="007141A8"/>
    <w:rsid w:val="00714468"/>
    <w:rsid w:val="00714D92"/>
    <w:rsid w:val="007151A4"/>
    <w:rsid w:val="007155EC"/>
    <w:rsid w:val="00716120"/>
    <w:rsid w:val="00716C10"/>
    <w:rsid w:val="00716C2A"/>
    <w:rsid w:val="007171BB"/>
    <w:rsid w:val="0071725C"/>
    <w:rsid w:val="00717323"/>
    <w:rsid w:val="007200D6"/>
    <w:rsid w:val="007200FB"/>
    <w:rsid w:val="00721218"/>
    <w:rsid w:val="00721AC4"/>
    <w:rsid w:val="00721CD2"/>
    <w:rsid w:val="00721EF0"/>
    <w:rsid w:val="0072218E"/>
    <w:rsid w:val="00722C32"/>
    <w:rsid w:val="00722D73"/>
    <w:rsid w:val="00723011"/>
    <w:rsid w:val="007234BD"/>
    <w:rsid w:val="007245E6"/>
    <w:rsid w:val="007248BD"/>
    <w:rsid w:val="007250F9"/>
    <w:rsid w:val="00725137"/>
    <w:rsid w:val="007255BE"/>
    <w:rsid w:val="007259FB"/>
    <w:rsid w:val="00726083"/>
    <w:rsid w:val="007263F6"/>
    <w:rsid w:val="00726B04"/>
    <w:rsid w:val="007279A7"/>
    <w:rsid w:val="007313E2"/>
    <w:rsid w:val="007318B6"/>
    <w:rsid w:val="00732902"/>
    <w:rsid w:val="0073307D"/>
    <w:rsid w:val="007334F0"/>
    <w:rsid w:val="007339AD"/>
    <w:rsid w:val="00734016"/>
    <w:rsid w:val="007358DD"/>
    <w:rsid w:val="007359CB"/>
    <w:rsid w:val="0073700F"/>
    <w:rsid w:val="007370E1"/>
    <w:rsid w:val="007374BA"/>
    <w:rsid w:val="00737886"/>
    <w:rsid w:val="007402B8"/>
    <w:rsid w:val="007404EA"/>
    <w:rsid w:val="00740DA0"/>
    <w:rsid w:val="0074111D"/>
    <w:rsid w:val="00741CA4"/>
    <w:rsid w:val="0074286E"/>
    <w:rsid w:val="00742DD2"/>
    <w:rsid w:val="0074335B"/>
    <w:rsid w:val="00743C13"/>
    <w:rsid w:val="007449B6"/>
    <w:rsid w:val="00744D8A"/>
    <w:rsid w:val="00745301"/>
    <w:rsid w:val="0074556D"/>
    <w:rsid w:val="0074589F"/>
    <w:rsid w:val="00745F8C"/>
    <w:rsid w:val="007466F7"/>
    <w:rsid w:val="00746A81"/>
    <w:rsid w:val="00746BC1"/>
    <w:rsid w:val="00747496"/>
    <w:rsid w:val="00747CC8"/>
    <w:rsid w:val="007500BD"/>
    <w:rsid w:val="007502C9"/>
    <w:rsid w:val="0075053B"/>
    <w:rsid w:val="00750B55"/>
    <w:rsid w:val="007521D2"/>
    <w:rsid w:val="0075226B"/>
    <w:rsid w:val="007523F4"/>
    <w:rsid w:val="00752629"/>
    <w:rsid w:val="00752C1A"/>
    <w:rsid w:val="00753B72"/>
    <w:rsid w:val="00753D6A"/>
    <w:rsid w:val="0075427F"/>
    <w:rsid w:val="0075436D"/>
    <w:rsid w:val="007547CB"/>
    <w:rsid w:val="00754EA1"/>
    <w:rsid w:val="007552F2"/>
    <w:rsid w:val="00755D7B"/>
    <w:rsid w:val="00756A90"/>
    <w:rsid w:val="00756CF6"/>
    <w:rsid w:val="00756ED7"/>
    <w:rsid w:val="007570AE"/>
    <w:rsid w:val="00757470"/>
    <w:rsid w:val="0075751E"/>
    <w:rsid w:val="007577FB"/>
    <w:rsid w:val="00757B00"/>
    <w:rsid w:val="00757B80"/>
    <w:rsid w:val="00757DA0"/>
    <w:rsid w:val="00760652"/>
    <w:rsid w:val="00760B1A"/>
    <w:rsid w:val="00760E1B"/>
    <w:rsid w:val="00761CEB"/>
    <w:rsid w:val="00764128"/>
    <w:rsid w:val="007653B4"/>
    <w:rsid w:val="007663EB"/>
    <w:rsid w:val="00766C58"/>
    <w:rsid w:val="00767354"/>
    <w:rsid w:val="00767682"/>
    <w:rsid w:val="0076795A"/>
    <w:rsid w:val="007701FE"/>
    <w:rsid w:val="0077028F"/>
    <w:rsid w:val="0077045E"/>
    <w:rsid w:val="00770576"/>
    <w:rsid w:val="00770D68"/>
    <w:rsid w:val="0077225F"/>
    <w:rsid w:val="00772611"/>
    <w:rsid w:val="00772AAB"/>
    <w:rsid w:val="00772B35"/>
    <w:rsid w:val="00772E2C"/>
    <w:rsid w:val="00773077"/>
    <w:rsid w:val="0077362B"/>
    <w:rsid w:val="007757B4"/>
    <w:rsid w:val="00775998"/>
    <w:rsid w:val="00775BA2"/>
    <w:rsid w:val="007764A7"/>
    <w:rsid w:val="00776553"/>
    <w:rsid w:val="0077769F"/>
    <w:rsid w:val="007800A6"/>
    <w:rsid w:val="00780591"/>
    <w:rsid w:val="007809CA"/>
    <w:rsid w:val="00780DBD"/>
    <w:rsid w:val="00781D13"/>
    <w:rsid w:val="00781DC9"/>
    <w:rsid w:val="007838B6"/>
    <w:rsid w:val="00784476"/>
    <w:rsid w:val="00784A3C"/>
    <w:rsid w:val="00784CFF"/>
    <w:rsid w:val="00785600"/>
    <w:rsid w:val="00786415"/>
    <w:rsid w:val="00787425"/>
    <w:rsid w:val="007904FC"/>
    <w:rsid w:val="007908FE"/>
    <w:rsid w:val="00790C47"/>
    <w:rsid w:val="00790EB7"/>
    <w:rsid w:val="0079122E"/>
    <w:rsid w:val="0079164F"/>
    <w:rsid w:val="0079209C"/>
    <w:rsid w:val="007935AF"/>
    <w:rsid w:val="00793667"/>
    <w:rsid w:val="007938B4"/>
    <w:rsid w:val="00793B28"/>
    <w:rsid w:val="00793CDA"/>
    <w:rsid w:val="0079410D"/>
    <w:rsid w:val="00794204"/>
    <w:rsid w:val="00794428"/>
    <w:rsid w:val="00795179"/>
    <w:rsid w:val="0079624F"/>
    <w:rsid w:val="00796D68"/>
    <w:rsid w:val="0079724C"/>
    <w:rsid w:val="0079738E"/>
    <w:rsid w:val="00797BE7"/>
    <w:rsid w:val="007A0028"/>
    <w:rsid w:val="007A183B"/>
    <w:rsid w:val="007A1B0B"/>
    <w:rsid w:val="007A2C10"/>
    <w:rsid w:val="007A3875"/>
    <w:rsid w:val="007A3D03"/>
    <w:rsid w:val="007A43EA"/>
    <w:rsid w:val="007A472D"/>
    <w:rsid w:val="007A4B26"/>
    <w:rsid w:val="007A4C5E"/>
    <w:rsid w:val="007A5CB1"/>
    <w:rsid w:val="007A5F57"/>
    <w:rsid w:val="007A5FB9"/>
    <w:rsid w:val="007A7022"/>
    <w:rsid w:val="007B0971"/>
    <w:rsid w:val="007B103E"/>
    <w:rsid w:val="007B15A6"/>
    <w:rsid w:val="007B229B"/>
    <w:rsid w:val="007B27F6"/>
    <w:rsid w:val="007B2ED8"/>
    <w:rsid w:val="007B3291"/>
    <w:rsid w:val="007B39FB"/>
    <w:rsid w:val="007B400B"/>
    <w:rsid w:val="007B4457"/>
    <w:rsid w:val="007B4DC7"/>
    <w:rsid w:val="007B73D8"/>
    <w:rsid w:val="007C1CB5"/>
    <w:rsid w:val="007C2C84"/>
    <w:rsid w:val="007C30D9"/>
    <w:rsid w:val="007C3CA9"/>
    <w:rsid w:val="007C3D32"/>
    <w:rsid w:val="007C4AC8"/>
    <w:rsid w:val="007C4FF5"/>
    <w:rsid w:val="007C598E"/>
    <w:rsid w:val="007C5A2C"/>
    <w:rsid w:val="007C624B"/>
    <w:rsid w:val="007C6B20"/>
    <w:rsid w:val="007C714D"/>
    <w:rsid w:val="007D0C65"/>
    <w:rsid w:val="007D2C95"/>
    <w:rsid w:val="007D3222"/>
    <w:rsid w:val="007D384F"/>
    <w:rsid w:val="007D3A02"/>
    <w:rsid w:val="007D4B45"/>
    <w:rsid w:val="007D4B68"/>
    <w:rsid w:val="007D5885"/>
    <w:rsid w:val="007D5F1B"/>
    <w:rsid w:val="007E0CDE"/>
    <w:rsid w:val="007E165B"/>
    <w:rsid w:val="007E2308"/>
    <w:rsid w:val="007E2C91"/>
    <w:rsid w:val="007E3492"/>
    <w:rsid w:val="007E38A6"/>
    <w:rsid w:val="007E3997"/>
    <w:rsid w:val="007E42CF"/>
    <w:rsid w:val="007E543D"/>
    <w:rsid w:val="007E58AB"/>
    <w:rsid w:val="007E6127"/>
    <w:rsid w:val="007E641F"/>
    <w:rsid w:val="007E6962"/>
    <w:rsid w:val="007E6BDD"/>
    <w:rsid w:val="007E7757"/>
    <w:rsid w:val="007F0D42"/>
    <w:rsid w:val="007F2440"/>
    <w:rsid w:val="007F29A8"/>
    <w:rsid w:val="007F3955"/>
    <w:rsid w:val="007F4410"/>
    <w:rsid w:val="007F47EF"/>
    <w:rsid w:val="007F4E75"/>
    <w:rsid w:val="007F5145"/>
    <w:rsid w:val="007F5F72"/>
    <w:rsid w:val="007F64A8"/>
    <w:rsid w:val="008014C8"/>
    <w:rsid w:val="00801B75"/>
    <w:rsid w:val="00801FCF"/>
    <w:rsid w:val="00803073"/>
    <w:rsid w:val="00803220"/>
    <w:rsid w:val="00804736"/>
    <w:rsid w:val="00804A78"/>
    <w:rsid w:val="00804D03"/>
    <w:rsid w:val="00805410"/>
    <w:rsid w:val="00805C1D"/>
    <w:rsid w:val="008063A4"/>
    <w:rsid w:val="0080756E"/>
    <w:rsid w:val="0080792D"/>
    <w:rsid w:val="00807C1C"/>
    <w:rsid w:val="00807D27"/>
    <w:rsid w:val="00807EAC"/>
    <w:rsid w:val="00807F4A"/>
    <w:rsid w:val="00810631"/>
    <w:rsid w:val="008118CA"/>
    <w:rsid w:val="00811C91"/>
    <w:rsid w:val="00811DDC"/>
    <w:rsid w:val="00812056"/>
    <w:rsid w:val="00812491"/>
    <w:rsid w:val="00812550"/>
    <w:rsid w:val="008131F9"/>
    <w:rsid w:val="008134C7"/>
    <w:rsid w:val="008141F1"/>
    <w:rsid w:val="0081467F"/>
    <w:rsid w:val="00814DC3"/>
    <w:rsid w:val="00814E09"/>
    <w:rsid w:val="00814E64"/>
    <w:rsid w:val="00815254"/>
    <w:rsid w:val="00815B3E"/>
    <w:rsid w:val="00815F00"/>
    <w:rsid w:val="00816964"/>
    <w:rsid w:val="00816F7D"/>
    <w:rsid w:val="0081728D"/>
    <w:rsid w:val="008175EF"/>
    <w:rsid w:val="008176AA"/>
    <w:rsid w:val="008176E9"/>
    <w:rsid w:val="00817A8A"/>
    <w:rsid w:val="008203E5"/>
    <w:rsid w:val="0082185D"/>
    <w:rsid w:val="00821C85"/>
    <w:rsid w:val="00822A18"/>
    <w:rsid w:val="00822AC3"/>
    <w:rsid w:val="00823676"/>
    <w:rsid w:val="0082433C"/>
    <w:rsid w:val="00824578"/>
    <w:rsid w:val="00825A85"/>
    <w:rsid w:val="00825AB3"/>
    <w:rsid w:val="00825D26"/>
    <w:rsid w:val="008260CD"/>
    <w:rsid w:val="0082620B"/>
    <w:rsid w:val="0082668A"/>
    <w:rsid w:val="00826BBD"/>
    <w:rsid w:val="00826ED8"/>
    <w:rsid w:val="008274AD"/>
    <w:rsid w:val="00827554"/>
    <w:rsid w:val="0083113F"/>
    <w:rsid w:val="0083138E"/>
    <w:rsid w:val="00831DB2"/>
    <w:rsid w:val="008323D6"/>
    <w:rsid w:val="0083270B"/>
    <w:rsid w:val="00832FD1"/>
    <w:rsid w:val="00833E76"/>
    <w:rsid w:val="00833EAB"/>
    <w:rsid w:val="00834808"/>
    <w:rsid w:val="00836092"/>
    <w:rsid w:val="008364A7"/>
    <w:rsid w:val="00836697"/>
    <w:rsid w:val="00836746"/>
    <w:rsid w:val="008367CF"/>
    <w:rsid w:val="00836A3B"/>
    <w:rsid w:val="00837C3C"/>
    <w:rsid w:val="00837DA3"/>
    <w:rsid w:val="00837E8E"/>
    <w:rsid w:val="0084054C"/>
    <w:rsid w:val="00841240"/>
    <w:rsid w:val="00842189"/>
    <w:rsid w:val="00842F26"/>
    <w:rsid w:val="00843108"/>
    <w:rsid w:val="00843B43"/>
    <w:rsid w:val="00843FEB"/>
    <w:rsid w:val="00844287"/>
    <w:rsid w:val="0084436F"/>
    <w:rsid w:val="00845939"/>
    <w:rsid w:val="00845D5B"/>
    <w:rsid w:val="00846617"/>
    <w:rsid w:val="00847C88"/>
    <w:rsid w:val="00847F96"/>
    <w:rsid w:val="00850E37"/>
    <w:rsid w:val="008512B4"/>
    <w:rsid w:val="008515D3"/>
    <w:rsid w:val="008516B6"/>
    <w:rsid w:val="00852281"/>
    <w:rsid w:val="008524BE"/>
    <w:rsid w:val="00852797"/>
    <w:rsid w:val="00852EE4"/>
    <w:rsid w:val="00853174"/>
    <w:rsid w:val="008546E5"/>
    <w:rsid w:val="00854DF0"/>
    <w:rsid w:val="00855237"/>
    <w:rsid w:val="008558ED"/>
    <w:rsid w:val="00856452"/>
    <w:rsid w:val="008566E1"/>
    <w:rsid w:val="008570C0"/>
    <w:rsid w:val="0086078E"/>
    <w:rsid w:val="00860B88"/>
    <w:rsid w:val="00861EB7"/>
    <w:rsid w:val="00862108"/>
    <w:rsid w:val="008622C4"/>
    <w:rsid w:val="00862377"/>
    <w:rsid w:val="00862464"/>
    <w:rsid w:val="00862577"/>
    <w:rsid w:val="00862E07"/>
    <w:rsid w:val="008637CF"/>
    <w:rsid w:val="008640FA"/>
    <w:rsid w:val="00864500"/>
    <w:rsid w:val="0086514D"/>
    <w:rsid w:val="00865724"/>
    <w:rsid w:val="00865739"/>
    <w:rsid w:val="00865CE4"/>
    <w:rsid w:val="00866B8D"/>
    <w:rsid w:val="0086779B"/>
    <w:rsid w:val="008679FC"/>
    <w:rsid w:val="00867F3D"/>
    <w:rsid w:val="00870380"/>
    <w:rsid w:val="0087118F"/>
    <w:rsid w:val="00871296"/>
    <w:rsid w:val="00871AA7"/>
    <w:rsid w:val="00871C3F"/>
    <w:rsid w:val="008725A0"/>
    <w:rsid w:val="00872AB8"/>
    <w:rsid w:val="00872F6D"/>
    <w:rsid w:val="00873DB8"/>
    <w:rsid w:val="00873E5C"/>
    <w:rsid w:val="00874641"/>
    <w:rsid w:val="00874DCF"/>
    <w:rsid w:val="00875176"/>
    <w:rsid w:val="00875CEE"/>
    <w:rsid w:val="008763BA"/>
    <w:rsid w:val="00876CA6"/>
    <w:rsid w:val="0087788E"/>
    <w:rsid w:val="00880623"/>
    <w:rsid w:val="00880C33"/>
    <w:rsid w:val="00880E29"/>
    <w:rsid w:val="00880F09"/>
    <w:rsid w:val="008810DF"/>
    <w:rsid w:val="008825A3"/>
    <w:rsid w:val="00882E5A"/>
    <w:rsid w:val="00883021"/>
    <w:rsid w:val="00883095"/>
    <w:rsid w:val="008839D8"/>
    <w:rsid w:val="00883BCC"/>
    <w:rsid w:val="008844E1"/>
    <w:rsid w:val="00884BF0"/>
    <w:rsid w:val="008851AC"/>
    <w:rsid w:val="00886418"/>
    <w:rsid w:val="0088707C"/>
    <w:rsid w:val="00887B3F"/>
    <w:rsid w:val="00887B43"/>
    <w:rsid w:val="00890313"/>
    <w:rsid w:val="0089043F"/>
    <w:rsid w:val="00890569"/>
    <w:rsid w:val="00890C5C"/>
    <w:rsid w:val="00890E5E"/>
    <w:rsid w:val="00891F37"/>
    <w:rsid w:val="0089234B"/>
    <w:rsid w:val="00892DC9"/>
    <w:rsid w:val="008947EE"/>
    <w:rsid w:val="00895384"/>
    <w:rsid w:val="00895718"/>
    <w:rsid w:val="008959AC"/>
    <w:rsid w:val="00896FCB"/>
    <w:rsid w:val="00897A01"/>
    <w:rsid w:val="008A06CA"/>
    <w:rsid w:val="008A0F6C"/>
    <w:rsid w:val="008A130F"/>
    <w:rsid w:val="008A2037"/>
    <w:rsid w:val="008A287C"/>
    <w:rsid w:val="008A2F32"/>
    <w:rsid w:val="008A31F8"/>
    <w:rsid w:val="008A3AD6"/>
    <w:rsid w:val="008A3EF0"/>
    <w:rsid w:val="008A4807"/>
    <w:rsid w:val="008A480F"/>
    <w:rsid w:val="008A4B52"/>
    <w:rsid w:val="008A547B"/>
    <w:rsid w:val="008A580B"/>
    <w:rsid w:val="008A585D"/>
    <w:rsid w:val="008A599D"/>
    <w:rsid w:val="008A5C57"/>
    <w:rsid w:val="008A5E6E"/>
    <w:rsid w:val="008A7430"/>
    <w:rsid w:val="008A7DEE"/>
    <w:rsid w:val="008B0D8F"/>
    <w:rsid w:val="008B24B9"/>
    <w:rsid w:val="008B28BF"/>
    <w:rsid w:val="008B2AA0"/>
    <w:rsid w:val="008B3442"/>
    <w:rsid w:val="008B3903"/>
    <w:rsid w:val="008B3E9E"/>
    <w:rsid w:val="008B4CAB"/>
    <w:rsid w:val="008B53AC"/>
    <w:rsid w:val="008C05D2"/>
    <w:rsid w:val="008C0A28"/>
    <w:rsid w:val="008C1A37"/>
    <w:rsid w:val="008C1B1D"/>
    <w:rsid w:val="008C1E99"/>
    <w:rsid w:val="008C1FC9"/>
    <w:rsid w:val="008C2605"/>
    <w:rsid w:val="008C2CBC"/>
    <w:rsid w:val="008C35FC"/>
    <w:rsid w:val="008C44DA"/>
    <w:rsid w:val="008C5CD1"/>
    <w:rsid w:val="008C6FCC"/>
    <w:rsid w:val="008C7ACD"/>
    <w:rsid w:val="008D0D18"/>
    <w:rsid w:val="008D17D1"/>
    <w:rsid w:val="008D1889"/>
    <w:rsid w:val="008D1982"/>
    <w:rsid w:val="008D1B26"/>
    <w:rsid w:val="008D1D3B"/>
    <w:rsid w:val="008D1DE6"/>
    <w:rsid w:val="008D2D6D"/>
    <w:rsid w:val="008D318C"/>
    <w:rsid w:val="008D337A"/>
    <w:rsid w:val="008D3DD4"/>
    <w:rsid w:val="008D3EAD"/>
    <w:rsid w:val="008D41D2"/>
    <w:rsid w:val="008D439F"/>
    <w:rsid w:val="008D46ED"/>
    <w:rsid w:val="008D5022"/>
    <w:rsid w:val="008D59C2"/>
    <w:rsid w:val="008D65A1"/>
    <w:rsid w:val="008D67A1"/>
    <w:rsid w:val="008D69D0"/>
    <w:rsid w:val="008D6AA0"/>
    <w:rsid w:val="008D6DD8"/>
    <w:rsid w:val="008D7BEA"/>
    <w:rsid w:val="008E042B"/>
    <w:rsid w:val="008E0EB1"/>
    <w:rsid w:val="008E1E34"/>
    <w:rsid w:val="008E2B90"/>
    <w:rsid w:val="008E2BB0"/>
    <w:rsid w:val="008E2DE7"/>
    <w:rsid w:val="008E32B7"/>
    <w:rsid w:val="008E3545"/>
    <w:rsid w:val="008E36C8"/>
    <w:rsid w:val="008E3C9E"/>
    <w:rsid w:val="008E3EEF"/>
    <w:rsid w:val="008E4B02"/>
    <w:rsid w:val="008E4F44"/>
    <w:rsid w:val="008E52A1"/>
    <w:rsid w:val="008E5AFE"/>
    <w:rsid w:val="008E63EC"/>
    <w:rsid w:val="008E6605"/>
    <w:rsid w:val="008E6B49"/>
    <w:rsid w:val="008E75AA"/>
    <w:rsid w:val="008E793A"/>
    <w:rsid w:val="008F0347"/>
    <w:rsid w:val="008F06CE"/>
    <w:rsid w:val="008F10ED"/>
    <w:rsid w:val="008F13B8"/>
    <w:rsid w:val="008F1C44"/>
    <w:rsid w:val="008F2485"/>
    <w:rsid w:val="008F26CF"/>
    <w:rsid w:val="008F27A3"/>
    <w:rsid w:val="008F2C65"/>
    <w:rsid w:val="008F3F47"/>
    <w:rsid w:val="008F61B3"/>
    <w:rsid w:val="008F635A"/>
    <w:rsid w:val="008F65BB"/>
    <w:rsid w:val="008F6A0A"/>
    <w:rsid w:val="008F6E8F"/>
    <w:rsid w:val="008F7F26"/>
    <w:rsid w:val="009012D2"/>
    <w:rsid w:val="009019B7"/>
    <w:rsid w:val="0090206A"/>
    <w:rsid w:val="009045FD"/>
    <w:rsid w:val="00904AED"/>
    <w:rsid w:val="00904D52"/>
    <w:rsid w:val="00904E67"/>
    <w:rsid w:val="0090507F"/>
    <w:rsid w:val="00905CAE"/>
    <w:rsid w:val="00906128"/>
    <w:rsid w:val="009062EA"/>
    <w:rsid w:val="009066C7"/>
    <w:rsid w:val="00906F9E"/>
    <w:rsid w:val="00907347"/>
    <w:rsid w:val="0091155B"/>
    <w:rsid w:val="009117CB"/>
    <w:rsid w:val="00911886"/>
    <w:rsid w:val="009118C6"/>
    <w:rsid w:val="009119DF"/>
    <w:rsid w:val="00912146"/>
    <w:rsid w:val="00912235"/>
    <w:rsid w:val="00912F3A"/>
    <w:rsid w:val="0091473A"/>
    <w:rsid w:val="0091475F"/>
    <w:rsid w:val="00915645"/>
    <w:rsid w:val="00915F4E"/>
    <w:rsid w:val="0091633A"/>
    <w:rsid w:val="00920658"/>
    <w:rsid w:val="00921751"/>
    <w:rsid w:val="00921810"/>
    <w:rsid w:val="00921C10"/>
    <w:rsid w:val="00922DF7"/>
    <w:rsid w:val="0092443E"/>
    <w:rsid w:val="00924D4E"/>
    <w:rsid w:val="0092525A"/>
    <w:rsid w:val="00926151"/>
    <w:rsid w:val="0092634E"/>
    <w:rsid w:val="009269A4"/>
    <w:rsid w:val="00926FF5"/>
    <w:rsid w:val="00927AC9"/>
    <w:rsid w:val="009304F3"/>
    <w:rsid w:val="00931946"/>
    <w:rsid w:val="00932070"/>
    <w:rsid w:val="00932678"/>
    <w:rsid w:val="00932B6E"/>
    <w:rsid w:val="009337FC"/>
    <w:rsid w:val="00933996"/>
    <w:rsid w:val="009339E4"/>
    <w:rsid w:val="009345D6"/>
    <w:rsid w:val="009355CE"/>
    <w:rsid w:val="00936014"/>
    <w:rsid w:val="00937D99"/>
    <w:rsid w:val="009400D1"/>
    <w:rsid w:val="00940A4B"/>
    <w:rsid w:val="00940AEB"/>
    <w:rsid w:val="00940B86"/>
    <w:rsid w:val="00940D22"/>
    <w:rsid w:val="009418ED"/>
    <w:rsid w:val="00941DFA"/>
    <w:rsid w:val="00941E85"/>
    <w:rsid w:val="009421B3"/>
    <w:rsid w:val="00942331"/>
    <w:rsid w:val="00942543"/>
    <w:rsid w:val="00942CA6"/>
    <w:rsid w:val="00943005"/>
    <w:rsid w:val="0094327D"/>
    <w:rsid w:val="009433E3"/>
    <w:rsid w:val="009445D4"/>
    <w:rsid w:val="00944B7E"/>
    <w:rsid w:val="00945961"/>
    <w:rsid w:val="00945FCC"/>
    <w:rsid w:val="009463EB"/>
    <w:rsid w:val="00947B1D"/>
    <w:rsid w:val="00947BE0"/>
    <w:rsid w:val="009508C9"/>
    <w:rsid w:val="00950C8B"/>
    <w:rsid w:val="00950CEC"/>
    <w:rsid w:val="00951265"/>
    <w:rsid w:val="00951686"/>
    <w:rsid w:val="0095257B"/>
    <w:rsid w:val="00952F58"/>
    <w:rsid w:val="00953583"/>
    <w:rsid w:val="00954B8F"/>
    <w:rsid w:val="009555CA"/>
    <w:rsid w:val="0095586A"/>
    <w:rsid w:val="00955ED8"/>
    <w:rsid w:val="0095630F"/>
    <w:rsid w:val="009567A1"/>
    <w:rsid w:val="009567CE"/>
    <w:rsid w:val="009568B0"/>
    <w:rsid w:val="00956BD3"/>
    <w:rsid w:val="00956E7D"/>
    <w:rsid w:val="00956EC0"/>
    <w:rsid w:val="00957588"/>
    <w:rsid w:val="00957C44"/>
    <w:rsid w:val="00957C45"/>
    <w:rsid w:val="00957FB5"/>
    <w:rsid w:val="009600EF"/>
    <w:rsid w:val="0096083E"/>
    <w:rsid w:val="00961A7C"/>
    <w:rsid w:val="009625BD"/>
    <w:rsid w:val="009629DA"/>
    <w:rsid w:val="009636AD"/>
    <w:rsid w:val="00963743"/>
    <w:rsid w:val="00963C92"/>
    <w:rsid w:val="009649AA"/>
    <w:rsid w:val="00964FA6"/>
    <w:rsid w:val="00966A93"/>
    <w:rsid w:val="00966E49"/>
    <w:rsid w:val="0096793E"/>
    <w:rsid w:val="0097013E"/>
    <w:rsid w:val="0097055B"/>
    <w:rsid w:val="00970B26"/>
    <w:rsid w:val="00970B63"/>
    <w:rsid w:val="00970DBA"/>
    <w:rsid w:val="0097137B"/>
    <w:rsid w:val="00971684"/>
    <w:rsid w:val="009734B0"/>
    <w:rsid w:val="009736BA"/>
    <w:rsid w:val="00974213"/>
    <w:rsid w:val="009742BD"/>
    <w:rsid w:val="009746FB"/>
    <w:rsid w:val="00976B7B"/>
    <w:rsid w:val="00976C90"/>
    <w:rsid w:val="00976E44"/>
    <w:rsid w:val="009771A4"/>
    <w:rsid w:val="009807BE"/>
    <w:rsid w:val="00980A2A"/>
    <w:rsid w:val="009828D0"/>
    <w:rsid w:val="009837A0"/>
    <w:rsid w:val="0098481F"/>
    <w:rsid w:val="00984FB4"/>
    <w:rsid w:val="00985221"/>
    <w:rsid w:val="0098556B"/>
    <w:rsid w:val="00985E37"/>
    <w:rsid w:val="0098601A"/>
    <w:rsid w:val="0098649F"/>
    <w:rsid w:val="00986A4D"/>
    <w:rsid w:val="00986A5A"/>
    <w:rsid w:val="00986DD9"/>
    <w:rsid w:val="00987150"/>
    <w:rsid w:val="00987182"/>
    <w:rsid w:val="009874F3"/>
    <w:rsid w:val="0098772A"/>
    <w:rsid w:val="00987918"/>
    <w:rsid w:val="00987A85"/>
    <w:rsid w:val="009900C4"/>
    <w:rsid w:val="0099035F"/>
    <w:rsid w:val="00991C2B"/>
    <w:rsid w:val="00991C5A"/>
    <w:rsid w:val="0099245A"/>
    <w:rsid w:val="00993A9F"/>
    <w:rsid w:val="00994121"/>
    <w:rsid w:val="009942E9"/>
    <w:rsid w:val="00994395"/>
    <w:rsid w:val="00994811"/>
    <w:rsid w:val="00996B21"/>
    <w:rsid w:val="00997057"/>
    <w:rsid w:val="0099779D"/>
    <w:rsid w:val="00997901"/>
    <w:rsid w:val="00997D6C"/>
    <w:rsid w:val="00997DC4"/>
    <w:rsid w:val="009A0698"/>
    <w:rsid w:val="009A0E01"/>
    <w:rsid w:val="009A22F5"/>
    <w:rsid w:val="009A3834"/>
    <w:rsid w:val="009A3AF8"/>
    <w:rsid w:val="009A3FB7"/>
    <w:rsid w:val="009A4138"/>
    <w:rsid w:val="009A44E7"/>
    <w:rsid w:val="009A48F3"/>
    <w:rsid w:val="009A4AB2"/>
    <w:rsid w:val="009A4EFE"/>
    <w:rsid w:val="009A5CFC"/>
    <w:rsid w:val="009A62FD"/>
    <w:rsid w:val="009A7668"/>
    <w:rsid w:val="009A7C55"/>
    <w:rsid w:val="009A7C95"/>
    <w:rsid w:val="009B029E"/>
    <w:rsid w:val="009B0C2B"/>
    <w:rsid w:val="009B0D01"/>
    <w:rsid w:val="009B0D22"/>
    <w:rsid w:val="009B1847"/>
    <w:rsid w:val="009B186E"/>
    <w:rsid w:val="009B1C49"/>
    <w:rsid w:val="009B1F88"/>
    <w:rsid w:val="009B222F"/>
    <w:rsid w:val="009B249B"/>
    <w:rsid w:val="009B2831"/>
    <w:rsid w:val="009B29FF"/>
    <w:rsid w:val="009B2F3A"/>
    <w:rsid w:val="009B4220"/>
    <w:rsid w:val="009B483A"/>
    <w:rsid w:val="009B58C1"/>
    <w:rsid w:val="009B6BD8"/>
    <w:rsid w:val="009B7879"/>
    <w:rsid w:val="009B7C31"/>
    <w:rsid w:val="009C0871"/>
    <w:rsid w:val="009C16CF"/>
    <w:rsid w:val="009C19B4"/>
    <w:rsid w:val="009C1C94"/>
    <w:rsid w:val="009C22D4"/>
    <w:rsid w:val="009C29B0"/>
    <w:rsid w:val="009C4CAF"/>
    <w:rsid w:val="009C5351"/>
    <w:rsid w:val="009C5E7C"/>
    <w:rsid w:val="009C696D"/>
    <w:rsid w:val="009C759C"/>
    <w:rsid w:val="009D05E4"/>
    <w:rsid w:val="009D0D68"/>
    <w:rsid w:val="009D10B5"/>
    <w:rsid w:val="009D1317"/>
    <w:rsid w:val="009D144F"/>
    <w:rsid w:val="009D1FCB"/>
    <w:rsid w:val="009D218D"/>
    <w:rsid w:val="009D30C9"/>
    <w:rsid w:val="009D31A2"/>
    <w:rsid w:val="009D39F1"/>
    <w:rsid w:val="009D439B"/>
    <w:rsid w:val="009D46F8"/>
    <w:rsid w:val="009D4AD8"/>
    <w:rsid w:val="009D4ECF"/>
    <w:rsid w:val="009D5E6A"/>
    <w:rsid w:val="009D5EB9"/>
    <w:rsid w:val="009D5EEF"/>
    <w:rsid w:val="009D624D"/>
    <w:rsid w:val="009D63B9"/>
    <w:rsid w:val="009D7633"/>
    <w:rsid w:val="009E05B3"/>
    <w:rsid w:val="009E05DC"/>
    <w:rsid w:val="009E06DA"/>
    <w:rsid w:val="009E09A0"/>
    <w:rsid w:val="009E0A0F"/>
    <w:rsid w:val="009E0E78"/>
    <w:rsid w:val="009E1DDF"/>
    <w:rsid w:val="009E215C"/>
    <w:rsid w:val="009E2C6B"/>
    <w:rsid w:val="009E2D33"/>
    <w:rsid w:val="009E3400"/>
    <w:rsid w:val="009E37A3"/>
    <w:rsid w:val="009E399F"/>
    <w:rsid w:val="009E5010"/>
    <w:rsid w:val="009E5421"/>
    <w:rsid w:val="009E6930"/>
    <w:rsid w:val="009E6F63"/>
    <w:rsid w:val="009E768C"/>
    <w:rsid w:val="009E7838"/>
    <w:rsid w:val="009F06D4"/>
    <w:rsid w:val="009F11F6"/>
    <w:rsid w:val="009F1292"/>
    <w:rsid w:val="009F12F8"/>
    <w:rsid w:val="009F1320"/>
    <w:rsid w:val="009F1477"/>
    <w:rsid w:val="009F1B9E"/>
    <w:rsid w:val="009F2917"/>
    <w:rsid w:val="009F2C22"/>
    <w:rsid w:val="009F328C"/>
    <w:rsid w:val="009F38B6"/>
    <w:rsid w:val="009F458E"/>
    <w:rsid w:val="009F47FC"/>
    <w:rsid w:val="009F48FD"/>
    <w:rsid w:val="009F4DB9"/>
    <w:rsid w:val="009F5CC9"/>
    <w:rsid w:val="009F643F"/>
    <w:rsid w:val="009F6BAF"/>
    <w:rsid w:val="009F6BE4"/>
    <w:rsid w:val="009F7918"/>
    <w:rsid w:val="009F7AB3"/>
    <w:rsid w:val="009F7FE3"/>
    <w:rsid w:val="00A00D39"/>
    <w:rsid w:val="00A00DEB"/>
    <w:rsid w:val="00A01247"/>
    <w:rsid w:val="00A018D8"/>
    <w:rsid w:val="00A01D42"/>
    <w:rsid w:val="00A02A38"/>
    <w:rsid w:val="00A02E61"/>
    <w:rsid w:val="00A02FEC"/>
    <w:rsid w:val="00A02FFF"/>
    <w:rsid w:val="00A031A7"/>
    <w:rsid w:val="00A033A4"/>
    <w:rsid w:val="00A03518"/>
    <w:rsid w:val="00A0378D"/>
    <w:rsid w:val="00A038E7"/>
    <w:rsid w:val="00A0414A"/>
    <w:rsid w:val="00A04396"/>
    <w:rsid w:val="00A0440C"/>
    <w:rsid w:val="00A046AD"/>
    <w:rsid w:val="00A04AF2"/>
    <w:rsid w:val="00A05601"/>
    <w:rsid w:val="00A06AB7"/>
    <w:rsid w:val="00A06EC5"/>
    <w:rsid w:val="00A06FE4"/>
    <w:rsid w:val="00A07F63"/>
    <w:rsid w:val="00A07FAD"/>
    <w:rsid w:val="00A10859"/>
    <w:rsid w:val="00A10CB9"/>
    <w:rsid w:val="00A1178C"/>
    <w:rsid w:val="00A12951"/>
    <w:rsid w:val="00A13073"/>
    <w:rsid w:val="00A13809"/>
    <w:rsid w:val="00A138B3"/>
    <w:rsid w:val="00A13CD1"/>
    <w:rsid w:val="00A14435"/>
    <w:rsid w:val="00A1480B"/>
    <w:rsid w:val="00A14A20"/>
    <w:rsid w:val="00A14BCB"/>
    <w:rsid w:val="00A150F7"/>
    <w:rsid w:val="00A15AF4"/>
    <w:rsid w:val="00A15BDC"/>
    <w:rsid w:val="00A169D3"/>
    <w:rsid w:val="00A1752F"/>
    <w:rsid w:val="00A1798B"/>
    <w:rsid w:val="00A17B68"/>
    <w:rsid w:val="00A200A7"/>
    <w:rsid w:val="00A202E2"/>
    <w:rsid w:val="00A20C8E"/>
    <w:rsid w:val="00A21D5A"/>
    <w:rsid w:val="00A21DA4"/>
    <w:rsid w:val="00A23B85"/>
    <w:rsid w:val="00A23F27"/>
    <w:rsid w:val="00A241A3"/>
    <w:rsid w:val="00A24986"/>
    <w:rsid w:val="00A24A40"/>
    <w:rsid w:val="00A24EF6"/>
    <w:rsid w:val="00A251D2"/>
    <w:rsid w:val="00A2528F"/>
    <w:rsid w:val="00A2570E"/>
    <w:rsid w:val="00A25FAD"/>
    <w:rsid w:val="00A266C6"/>
    <w:rsid w:val="00A268D7"/>
    <w:rsid w:val="00A2700A"/>
    <w:rsid w:val="00A276AE"/>
    <w:rsid w:val="00A27994"/>
    <w:rsid w:val="00A309E0"/>
    <w:rsid w:val="00A31340"/>
    <w:rsid w:val="00A31CCD"/>
    <w:rsid w:val="00A31F4E"/>
    <w:rsid w:val="00A32012"/>
    <w:rsid w:val="00A32343"/>
    <w:rsid w:val="00A3261A"/>
    <w:rsid w:val="00A32689"/>
    <w:rsid w:val="00A32F14"/>
    <w:rsid w:val="00A35887"/>
    <w:rsid w:val="00A36B3C"/>
    <w:rsid w:val="00A37DB4"/>
    <w:rsid w:val="00A403F7"/>
    <w:rsid w:val="00A41580"/>
    <w:rsid w:val="00A423EF"/>
    <w:rsid w:val="00A42EC2"/>
    <w:rsid w:val="00A42F5D"/>
    <w:rsid w:val="00A437FB"/>
    <w:rsid w:val="00A438FC"/>
    <w:rsid w:val="00A4398D"/>
    <w:rsid w:val="00A43AB2"/>
    <w:rsid w:val="00A45202"/>
    <w:rsid w:val="00A452E2"/>
    <w:rsid w:val="00A45995"/>
    <w:rsid w:val="00A46556"/>
    <w:rsid w:val="00A475B4"/>
    <w:rsid w:val="00A47A17"/>
    <w:rsid w:val="00A47D51"/>
    <w:rsid w:val="00A50263"/>
    <w:rsid w:val="00A5069C"/>
    <w:rsid w:val="00A50B33"/>
    <w:rsid w:val="00A50EC6"/>
    <w:rsid w:val="00A51475"/>
    <w:rsid w:val="00A5199E"/>
    <w:rsid w:val="00A519FF"/>
    <w:rsid w:val="00A536A1"/>
    <w:rsid w:val="00A53C7D"/>
    <w:rsid w:val="00A5442E"/>
    <w:rsid w:val="00A547A6"/>
    <w:rsid w:val="00A549F6"/>
    <w:rsid w:val="00A55D84"/>
    <w:rsid w:val="00A56753"/>
    <w:rsid w:val="00A56C25"/>
    <w:rsid w:val="00A57936"/>
    <w:rsid w:val="00A57AED"/>
    <w:rsid w:val="00A61436"/>
    <w:rsid w:val="00A61745"/>
    <w:rsid w:val="00A6227B"/>
    <w:rsid w:val="00A627A1"/>
    <w:rsid w:val="00A629DB"/>
    <w:rsid w:val="00A6354B"/>
    <w:rsid w:val="00A64B71"/>
    <w:rsid w:val="00A65260"/>
    <w:rsid w:val="00A65704"/>
    <w:rsid w:val="00A66CEC"/>
    <w:rsid w:val="00A66D4C"/>
    <w:rsid w:val="00A67766"/>
    <w:rsid w:val="00A6793A"/>
    <w:rsid w:val="00A71124"/>
    <w:rsid w:val="00A71CE5"/>
    <w:rsid w:val="00A72115"/>
    <w:rsid w:val="00A726A3"/>
    <w:rsid w:val="00A73267"/>
    <w:rsid w:val="00A74080"/>
    <w:rsid w:val="00A746F0"/>
    <w:rsid w:val="00A74AF4"/>
    <w:rsid w:val="00A74EEE"/>
    <w:rsid w:val="00A75790"/>
    <w:rsid w:val="00A75F36"/>
    <w:rsid w:val="00A76791"/>
    <w:rsid w:val="00A76F26"/>
    <w:rsid w:val="00A76FB0"/>
    <w:rsid w:val="00A77404"/>
    <w:rsid w:val="00A80858"/>
    <w:rsid w:val="00A81F1D"/>
    <w:rsid w:val="00A82C13"/>
    <w:rsid w:val="00A82DB9"/>
    <w:rsid w:val="00A83172"/>
    <w:rsid w:val="00A83279"/>
    <w:rsid w:val="00A834CF"/>
    <w:rsid w:val="00A8360A"/>
    <w:rsid w:val="00A845DF"/>
    <w:rsid w:val="00A84E90"/>
    <w:rsid w:val="00A84FFB"/>
    <w:rsid w:val="00A8501B"/>
    <w:rsid w:val="00A85846"/>
    <w:rsid w:val="00A870B8"/>
    <w:rsid w:val="00A876CF"/>
    <w:rsid w:val="00A90811"/>
    <w:rsid w:val="00A90C4B"/>
    <w:rsid w:val="00A90DA7"/>
    <w:rsid w:val="00A91057"/>
    <w:rsid w:val="00A92608"/>
    <w:rsid w:val="00A9289D"/>
    <w:rsid w:val="00A930B1"/>
    <w:rsid w:val="00A931A1"/>
    <w:rsid w:val="00A93EF0"/>
    <w:rsid w:val="00A94754"/>
    <w:rsid w:val="00A94BBF"/>
    <w:rsid w:val="00A94EC5"/>
    <w:rsid w:val="00A95FBD"/>
    <w:rsid w:val="00A96E7E"/>
    <w:rsid w:val="00A97F6F"/>
    <w:rsid w:val="00AA0B10"/>
    <w:rsid w:val="00AA0C8F"/>
    <w:rsid w:val="00AA1ACA"/>
    <w:rsid w:val="00AA3814"/>
    <w:rsid w:val="00AA53C7"/>
    <w:rsid w:val="00AA56B9"/>
    <w:rsid w:val="00AA57A0"/>
    <w:rsid w:val="00AA6DEE"/>
    <w:rsid w:val="00AA7096"/>
    <w:rsid w:val="00AB00ED"/>
    <w:rsid w:val="00AB013B"/>
    <w:rsid w:val="00AB0632"/>
    <w:rsid w:val="00AB0A48"/>
    <w:rsid w:val="00AB0CDF"/>
    <w:rsid w:val="00AB0EF4"/>
    <w:rsid w:val="00AB11FD"/>
    <w:rsid w:val="00AB1649"/>
    <w:rsid w:val="00AB1811"/>
    <w:rsid w:val="00AB2ED4"/>
    <w:rsid w:val="00AB3068"/>
    <w:rsid w:val="00AB3DA7"/>
    <w:rsid w:val="00AB3EEC"/>
    <w:rsid w:val="00AB49CD"/>
    <w:rsid w:val="00AB4BC4"/>
    <w:rsid w:val="00AB60FE"/>
    <w:rsid w:val="00AB640F"/>
    <w:rsid w:val="00AB6591"/>
    <w:rsid w:val="00AB664F"/>
    <w:rsid w:val="00AB682C"/>
    <w:rsid w:val="00AB7088"/>
    <w:rsid w:val="00AB7806"/>
    <w:rsid w:val="00AB78F6"/>
    <w:rsid w:val="00AC0B67"/>
    <w:rsid w:val="00AC0EEF"/>
    <w:rsid w:val="00AC0F46"/>
    <w:rsid w:val="00AC2E8C"/>
    <w:rsid w:val="00AC2FC5"/>
    <w:rsid w:val="00AC3F99"/>
    <w:rsid w:val="00AC4122"/>
    <w:rsid w:val="00AC45A3"/>
    <w:rsid w:val="00AC470C"/>
    <w:rsid w:val="00AC535C"/>
    <w:rsid w:val="00AC550B"/>
    <w:rsid w:val="00AC647B"/>
    <w:rsid w:val="00AC693A"/>
    <w:rsid w:val="00AC6FDC"/>
    <w:rsid w:val="00AC7089"/>
    <w:rsid w:val="00AC7380"/>
    <w:rsid w:val="00AC7795"/>
    <w:rsid w:val="00AC7D05"/>
    <w:rsid w:val="00AD019E"/>
    <w:rsid w:val="00AD04EF"/>
    <w:rsid w:val="00AD0BFC"/>
    <w:rsid w:val="00AD0FB9"/>
    <w:rsid w:val="00AD1D53"/>
    <w:rsid w:val="00AD2412"/>
    <w:rsid w:val="00AD2424"/>
    <w:rsid w:val="00AD2991"/>
    <w:rsid w:val="00AD2BB9"/>
    <w:rsid w:val="00AD3101"/>
    <w:rsid w:val="00AD4034"/>
    <w:rsid w:val="00AD40A5"/>
    <w:rsid w:val="00AD42B2"/>
    <w:rsid w:val="00AD42B7"/>
    <w:rsid w:val="00AD4467"/>
    <w:rsid w:val="00AD48E7"/>
    <w:rsid w:val="00AD500A"/>
    <w:rsid w:val="00AD5A2F"/>
    <w:rsid w:val="00AD66B1"/>
    <w:rsid w:val="00AD73D1"/>
    <w:rsid w:val="00AE042B"/>
    <w:rsid w:val="00AE0FC9"/>
    <w:rsid w:val="00AE14DC"/>
    <w:rsid w:val="00AE1CFA"/>
    <w:rsid w:val="00AE22E7"/>
    <w:rsid w:val="00AE2BD5"/>
    <w:rsid w:val="00AE2C32"/>
    <w:rsid w:val="00AE2F20"/>
    <w:rsid w:val="00AE3D6C"/>
    <w:rsid w:val="00AE4120"/>
    <w:rsid w:val="00AE413B"/>
    <w:rsid w:val="00AE47EE"/>
    <w:rsid w:val="00AE4FD3"/>
    <w:rsid w:val="00AE5EFB"/>
    <w:rsid w:val="00AE6605"/>
    <w:rsid w:val="00AE76AB"/>
    <w:rsid w:val="00AF0295"/>
    <w:rsid w:val="00AF0E0A"/>
    <w:rsid w:val="00AF1005"/>
    <w:rsid w:val="00AF1B7E"/>
    <w:rsid w:val="00AF2379"/>
    <w:rsid w:val="00AF27D2"/>
    <w:rsid w:val="00AF2892"/>
    <w:rsid w:val="00AF2B4B"/>
    <w:rsid w:val="00AF3391"/>
    <w:rsid w:val="00AF5E43"/>
    <w:rsid w:val="00AF67A1"/>
    <w:rsid w:val="00AF6D52"/>
    <w:rsid w:val="00B0008B"/>
    <w:rsid w:val="00B01516"/>
    <w:rsid w:val="00B01AED"/>
    <w:rsid w:val="00B025E3"/>
    <w:rsid w:val="00B02740"/>
    <w:rsid w:val="00B0278E"/>
    <w:rsid w:val="00B032EA"/>
    <w:rsid w:val="00B03C41"/>
    <w:rsid w:val="00B03E71"/>
    <w:rsid w:val="00B046FE"/>
    <w:rsid w:val="00B04B0D"/>
    <w:rsid w:val="00B04DD1"/>
    <w:rsid w:val="00B0502A"/>
    <w:rsid w:val="00B05930"/>
    <w:rsid w:val="00B05C42"/>
    <w:rsid w:val="00B0671C"/>
    <w:rsid w:val="00B06F2F"/>
    <w:rsid w:val="00B075FC"/>
    <w:rsid w:val="00B077E5"/>
    <w:rsid w:val="00B07852"/>
    <w:rsid w:val="00B07C00"/>
    <w:rsid w:val="00B07F4A"/>
    <w:rsid w:val="00B1027B"/>
    <w:rsid w:val="00B12997"/>
    <w:rsid w:val="00B12D27"/>
    <w:rsid w:val="00B12E55"/>
    <w:rsid w:val="00B134D2"/>
    <w:rsid w:val="00B139FB"/>
    <w:rsid w:val="00B146B4"/>
    <w:rsid w:val="00B15232"/>
    <w:rsid w:val="00B157BF"/>
    <w:rsid w:val="00B168C0"/>
    <w:rsid w:val="00B16E82"/>
    <w:rsid w:val="00B16FFD"/>
    <w:rsid w:val="00B177BA"/>
    <w:rsid w:val="00B17C0E"/>
    <w:rsid w:val="00B2031E"/>
    <w:rsid w:val="00B210C2"/>
    <w:rsid w:val="00B218D5"/>
    <w:rsid w:val="00B219B7"/>
    <w:rsid w:val="00B219F3"/>
    <w:rsid w:val="00B237EB"/>
    <w:rsid w:val="00B23E7C"/>
    <w:rsid w:val="00B23F7F"/>
    <w:rsid w:val="00B264AE"/>
    <w:rsid w:val="00B2677F"/>
    <w:rsid w:val="00B26D76"/>
    <w:rsid w:val="00B26E11"/>
    <w:rsid w:val="00B271DE"/>
    <w:rsid w:val="00B300B1"/>
    <w:rsid w:val="00B309B7"/>
    <w:rsid w:val="00B30BF6"/>
    <w:rsid w:val="00B30D1B"/>
    <w:rsid w:val="00B310D4"/>
    <w:rsid w:val="00B31583"/>
    <w:rsid w:val="00B31ECD"/>
    <w:rsid w:val="00B3261D"/>
    <w:rsid w:val="00B34562"/>
    <w:rsid w:val="00B349F9"/>
    <w:rsid w:val="00B36D8D"/>
    <w:rsid w:val="00B403A6"/>
    <w:rsid w:val="00B40414"/>
    <w:rsid w:val="00B40690"/>
    <w:rsid w:val="00B41006"/>
    <w:rsid w:val="00B410B2"/>
    <w:rsid w:val="00B415B8"/>
    <w:rsid w:val="00B4198B"/>
    <w:rsid w:val="00B427AE"/>
    <w:rsid w:val="00B43F42"/>
    <w:rsid w:val="00B44550"/>
    <w:rsid w:val="00B44F67"/>
    <w:rsid w:val="00B45399"/>
    <w:rsid w:val="00B45750"/>
    <w:rsid w:val="00B45C55"/>
    <w:rsid w:val="00B46074"/>
    <w:rsid w:val="00B4632D"/>
    <w:rsid w:val="00B472DF"/>
    <w:rsid w:val="00B472E8"/>
    <w:rsid w:val="00B47DF1"/>
    <w:rsid w:val="00B50960"/>
    <w:rsid w:val="00B50A01"/>
    <w:rsid w:val="00B51816"/>
    <w:rsid w:val="00B5218B"/>
    <w:rsid w:val="00B52C79"/>
    <w:rsid w:val="00B52F90"/>
    <w:rsid w:val="00B53A5D"/>
    <w:rsid w:val="00B53D82"/>
    <w:rsid w:val="00B540AE"/>
    <w:rsid w:val="00B554DD"/>
    <w:rsid w:val="00B5568F"/>
    <w:rsid w:val="00B55AB9"/>
    <w:rsid w:val="00B5696B"/>
    <w:rsid w:val="00B56C4D"/>
    <w:rsid w:val="00B57606"/>
    <w:rsid w:val="00B578D7"/>
    <w:rsid w:val="00B604ED"/>
    <w:rsid w:val="00B60A50"/>
    <w:rsid w:val="00B612D7"/>
    <w:rsid w:val="00B62EE9"/>
    <w:rsid w:val="00B63AB0"/>
    <w:rsid w:val="00B63D71"/>
    <w:rsid w:val="00B63F36"/>
    <w:rsid w:val="00B64063"/>
    <w:rsid w:val="00B64A72"/>
    <w:rsid w:val="00B64E3A"/>
    <w:rsid w:val="00B65090"/>
    <w:rsid w:val="00B65943"/>
    <w:rsid w:val="00B6594B"/>
    <w:rsid w:val="00B661A5"/>
    <w:rsid w:val="00B663F7"/>
    <w:rsid w:val="00B6756D"/>
    <w:rsid w:val="00B70222"/>
    <w:rsid w:val="00B7110C"/>
    <w:rsid w:val="00B714CD"/>
    <w:rsid w:val="00B71D38"/>
    <w:rsid w:val="00B73B94"/>
    <w:rsid w:val="00B75604"/>
    <w:rsid w:val="00B75821"/>
    <w:rsid w:val="00B765DA"/>
    <w:rsid w:val="00B770F9"/>
    <w:rsid w:val="00B776D7"/>
    <w:rsid w:val="00B777B6"/>
    <w:rsid w:val="00B77977"/>
    <w:rsid w:val="00B80BB1"/>
    <w:rsid w:val="00B8171E"/>
    <w:rsid w:val="00B821D4"/>
    <w:rsid w:val="00B82C02"/>
    <w:rsid w:val="00B82FDD"/>
    <w:rsid w:val="00B83392"/>
    <w:rsid w:val="00B833EF"/>
    <w:rsid w:val="00B83BF4"/>
    <w:rsid w:val="00B83DD7"/>
    <w:rsid w:val="00B84A91"/>
    <w:rsid w:val="00B84C43"/>
    <w:rsid w:val="00B84C9A"/>
    <w:rsid w:val="00B902D6"/>
    <w:rsid w:val="00B91683"/>
    <w:rsid w:val="00B91C93"/>
    <w:rsid w:val="00B92D78"/>
    <w:rsid w:val="00B9303E"/>
    <w:rsid w:val="00B938AC"/>
    <w:rsid w:val="00B938C9"/>
    <w:rsid w:val="00B94390"/>
    <w:rsid w:val="00B95046"/>
    <w:rsid w:val="00B96143"/>
    <w:rsid w:val="00B96227"/>
    <w:rsid w:val="00B9675E"/>
    <w:rsid w:val="00B97975"/>
    <w:rsid w:val="00BA0EF1"/>
    <w:rsid w:val="00BA155E"/>
    <w:rsid w:val="00BA1E03"/>
    <w:rsid w:val="00BA2051"/>
    <w:rsid w:val="00BA277F"/>
    <w:rsid w:val="00BA2BAF"/>
    <w:rsid w:val="00BA35F3"/>
    <w:rsid w:val="00BA3D13"/>
    <w:rsid w:val="00BA3F1C"/>
    <w:rsid w:val="00BA4BA8"/>
    <w:rsid w:val="00BA551C"/>
    <w:rsid w:val="00BA5EBE"/>
    <w:rsid w:val="00BA5F98"/>
    <w:rsid w:val="00BA61DE"/>
    <w:rsid w:val="00BB0FC9"/>
    <w:rsid w:val="00BB12EF"/>
    <w:rsid w:val="00BB161B"/>
    <w:rsid w:val="00BB2315"/>
    <w:rsid w:val="00BB38F3"/>
    <w:rsid w:val="00BB3DF8"/>
    <w:rsid w:val="00BB42C4"/>
    <w:rsid w:val="00BB4E0E"/>
    <w:rsid w:val="00BB57E9"/>
    <w:rsid w:val="00BB5F84"/>
    <w:rsid w:val="00BB6220"/>
    <w:rsid w:val="00BB622C"/>
    <w:rsid w:val="00BB6F94"/>
    <w:rsid w:val="00BB7480"/>
    <w:rsid w:val="00BB77D7"/>
    <w:rsid w:val="00BC078A"/>
    <w:rsid w:val="00BC07A6"/>
    <w:rsid w:val="00BC0CED"/>
    <w:rsid w:val="00BC1252"/>
    <w:rsid w:val="00BC180C"/>
    <w:rsid w:val="00BC1CBB"/>
    <w:rsid w:val="00BC1CD5"/>
    <w:rsid w:val="00BC2200"/>
    <w:rsid w:val="00BC2873"/>
    <w:rsid w:val="00BC2DCD"/>
    <w:rsid w:val="00BC3042"/>
    <w:rsid w:val="00BC3070"/>
    <w:rsid w:val="00BC40DB"/>
    <w:rsid w:val="00BC44C1"/>
    <w:rsid w:val="00BC4523"/>
    <w:rsid w:val="00BC53DE"/>
    <w:rsid w:val="00BC562C"/>
    <w:rsid w:val="00BC6048"/>
    <w:rsid w:val="00BC6489"/>
    <w:rsid w:val="00BC763E"/>
    <w:rsid w:val="00BC7BF0"/>
    <w:rsid w:val="00BD043C"/>
    <w:rsid w:val="00BD09A0"/>
    <w:rsid w:val="00BD1246"/>
    <w:rsid w:val="00BD1B59"/>
    <w:rsid w:val="00BD217B"/>
    <w:rsid w:val="00BD2E27"/>
    <w:rsid w:val="00BD363E"/>
    <w:rsid w:val="00BD3E30"/>
    <w:rsid w:val="00BD52BA"/>
    <w:rsid w:val="00BD5466"/>
    <w:rsid w:val="00BD5505"/>
    <w:rsid w:val="00BD5E22"/>
    <w:rsid w:val="00BD5F88"/>
    <w:rsid w:val="00BD60E4"/>
    <w:rsid w:val="00BD636F"/>
    <w:rsid w:val="00BD6CD4"/>
    <w:rsid w:val="00BD7714"/>
    <w:rsid w:val="00BD7F9A"/>
    <w:rsid w:val="00BE0047"/>
    <w:rsid w:val="00BE043F"/>
    <w:rsid w:val="00BE13AA"/>
    <w:rsid w:val="00BE1819"/>
    <w:rsid w:val="00BE2663"/>
    <w:rsid w:val="00BE3B7D"/>
    <w:rsid w:val="00BE3D57"/>
    <w:rsid w:val="00BE429E"/>
    <w:rsid w:val="00BE48AA"/>
    <w:rsid w:val="00BE4B33"/>
    <w:rsid w:val="00BE5A66"/>
    <w:rsid w:val="00BE6C80"/>
    <w:rsid w:val="00BE6DA7"/>
    <w:rsid w:val="00BE71C9"/>
    <w:rsid w:val="00BE75F0"/>
    <w:rsid w:val="00BE7C22"/>
    <w:rsid w:val="00BF013E"/>
    <w:rsid w:val="00BF01B5"/>
    <w:rsid w:val="00BF0759"/>
    <w:rsid w:val="00BF0873"/>
    <w:rsid w:val="00BF0BF4"/>
    <w:rsid w:val="00BF0E43"/>
    <w:rsid w:val="00BF10D9"/>
    <w:rsid w:val="00BF1339"/>
    <w:rsid w:val="00BF1400"/>
    <w:rsid w:val="00BF2B31"/>
    <w:rsid w:val="00BF3199"/>
    <w:rsid w:val="00BF333A"/>
    <w:rsid w:val="00BF3476"/>
    <w:rsid w:val="00BF385C"/>
    <w:rsid w:val="00BF55D4"/>
    <w:rsid w:val="00BF56F1"/>
    <w:rsid w:val="00BF5BE9"/>
    <w:rsid w:val="00BF63AB"/>
    <w:rsid w:val="00BF706A"/>
    <w:rsid w:val="00BF7A1D"/>
    <w:rsid w:val="00C002CE"/>
    <w:rsid w:val="00C00B1C"/>
    <w:rsid w:val="00C018E2"/>
    <w:rsid w:val="00C01EFB"/>
    <w:rsid w:val="00C027D0"/>
    <w:rsid w:val="00C02A0A"/>
    <w:rsid w:val="00C03840"/>
    <w:rsid w:val="00C048AD"/>
    <w:rsid w:val="00C04E78"/>
    <w:rsid w:val="00C05165"/>
    <w:rsid w:val="00C05AC5"/>
    <w:rsid w:val="00C06440"/>
    <w:rsid w:val="00C070C7"/>
    <w:rsid w:val="00C07973"/>
    <w:rsid w:val="00C10BD3"/>
    <w:rsid w:val="00C119F8"/>
    <w:rsid w:val="00C11A51"/>
    <w:rsid w:val="00C12050"/>
    <w:rsid w:val="00C125C8"/>
    <w:rsid w:val="00C12638"/>
    <w:rsid w:val="00C1478A"/>
    <w:rsid w:val="00C14E88"/>
    <w:rsid w:val="00C14EE0"/>
    <w:rsid w:val="00C14F01"/>
    <w:rsid w:val="00C15C40"/>
    <w:rsid w:val="00C15E2D"/>
    <w:rsid w:val="00C164BE"/>
    <w:rsid w:val="00C17704"/>
    <w:rsid w:val="00C2066E"/>
    <w:rsid w:val="00C2084D"/>
    <w:rsid w:val="00C20A1D"/>
    <w:rsid w:val="00C20F09"/>
    <w:rsid w:val="00C227F5"/>
    <w:rsid w:val="00C22A9D"/>
    <w:rsid w:val="00C22C81"/>
    <w:rsid w:val="00C2356C"/>
    <w:rsid w:val="00C23D65"/>
    <w:rsid w:val="00C243D9"/>
    <w:rsid w:val="00C2481D"/>
    <w:rsid w:val="00C24C03"/>
    <w:rsid w:val="00C24D23"/>
    <w:rsid w:val="00C253A5"/>
    <w:rsid w:val="00C25C06"/>
    <w:rsid w:val="00C26C51"/>
    <w:rsid w:val="00C26D40"/>
    <w:rsid w:val="00C26E07"/>
    <w:rsid w:val="00C271A3"/>
    <w:rsid w:val="00C27434"/>
    <w:rsid w:val="00C27464"/>
    <w:rsid w:val="00C31734"/>
    <w:rsid w:val="00C31ED0"/>
    <w:rsid w:val="00C320AF"/>
    <w:rsid w:val="00C32753"/>
    <w:rsid w:val="00C33AA7"/>
    <w:rsid w:val="00C341B5"/>
    <w:rsid w:val="00C34B44"/>
    <w:rsid w:val="00C35065"/>
    <w:rsid w:val="00C354D4"/>
    <w:rsid w:val="00C36C23"/>
    <w:rsid w:val="00C37213"/>
    <w:rsid w:val="00C3768C"/>
    <w:rsid w:val="00C37B7B"/>
    <w:rsid w:val="00C40F37"/>
    <w:rsid w:val="00C41405"/>
    <w:rsid w:val="00C41797"/>
    <w:rsid w:val="00C42117"/>
    <w:rsid w:val="00C42AB5"/>
    <w:rsid w:val="00C44A3C"/>
    <w:rsid w:val="00C44EEA"/>
    <w:rsid w:val="00C453AD"/>
    <w:rsid w:val="00C45C17"/>
    <w:rsid w:val="00C45EC2"/>
    <w:rsid w:val="00C462C5"/>
    <w:rsid w:val="00C464C4"/>
    <w:rsid w:val="00C47A7C"/>
    <w:rsid w:val="00C50A72"/>
    <w:rsid w:val="00C511CC"/>
    <w:rsid w:val="00C52B6B"/>
    <w:rsid w:val="00C53215"/>
    <w:rsid w:val="00C53217"/>
    <w:rsid w:val="00C5399C"/>
    <w:rsid w:val="00C53C6F"/>
    <w:rsid w:val="00C5487A"/>
    <w:rsid w:val="00C54D78"/>
    <w:rsid w:val="00C54DB0"/>
    <w:rsid w:val="00C56BD5"/>
    <w:rsid w:val="00C56DD7"/>
    <w:rsid w:val="00C56E41"/>
    <w:rsid w:val="00C576F4"/>
    <w:rsid w:val="00C57D66"/>
    <w:rsid w:val="00C604C6"/>
    <w:rsid w:val="00C61DF4"/>
    <w:rsid w:val="00C6201D"/>
    <w:rsid w:val="00C6222D"/>
    <w:rsid w:val="00C627B3"/>
    <w:rsid w:val="00C63192"/>
    <w:rsid w:val="00C63776"/>
    <w:rsid w:val="00C63B74"/>
    <w:rsid w:val="00C63EDD"/>
    <w:rsid w:val="00C6416F"/>
    <w:rsid w:val="00C6451C"/>
    <w:rsid w:val="00C647F6"/>
    <w:rsid w:val="00C65BDA"/>
    <w:rsid w:val="00C65D2B"/>
    <w:rsid w:val="00C671BE"/>
    <w:rsid w:val="00C67738"/>
    <w:rsid w:val="00C67DBC"/>
    <w:rsid w:val="00C70B5E"/>
    <w:rsid w:val="00C71135"/>
    <w:rsid w:val="00C71294"/>
    <w:rsid w:val="00C721AD"/>
    <w:rsid w:val="00C7237D"/>
    <w:rsid w:val="00C732BF"/>
    <w:rsid w:val="00C73899"/>
    <w:rsid w:val="00C73B7C"/>
    <w:rsid w:val="00C74025"/>
    <w:rsid w:val="00C74CBA"/>
    <w:rsid w:val="00C74F2A"/>
    <w:rsid w:val="00C74FDA"/>
    <w:rsid w:val="00C76084"/>
    <w:rsid w:val="00C76197"/>
    <w:rsid w:val="00C7633F"/>
    <w:rsid w:val="00C76B6C"/>
    <w:rsid w:val="00C76E28"/>
    <w:rsid w:val="00C777D5"/>
    <w:rsid w:val="00C779C6"/>
    <w:rsid w:val="00C805CC"/>
    <w:rsid w:val="00C80CD2"/>
    <w:rsid w:val="00C81080"/>
    <w:rsid w:val="00C814DA"/>
    <w:rsid w:val="00C81867"/>
    <w:rsid w:val="00C81F25"/>
    <w:rsid w:val="00C8259D"/>
    <w:rsid w:val="00C836D1"/>
    <w:rsid w:val="00C83BE5"/>
    <w:rsid w:val="00C83C72"/>
    <w:rsid w:val="00C840F7"/>
    <w:rsid w:val="00C84290"/>
    <w:rsid w:val="00C85177"/>
    <w:rsid w:val="00C858A9"/>
    <w:rsid w:val="00C85CF6"/>
    <w:rsid w:val="00C8696F"/>
    <w:rsid w:val="00C86C54"/>
    <w:rsid w:val="00C86E62"/>
    <w:rsid w:val="00C86FF8"/>
    <w:rsid w:val="00C87A39"/>
    <w:rsid w:val="00C87E53"/>
    <w:rsid w:val="00C902B8"/>
    <w:rsid w:val="00C90FB3"/>
    <w:rsid w:val="00C92767"/>
    <w:rsid w:val="00C939D7"/>
    <w:rsid w:val="00C93DE1"/>
    <w:rsid w:val="00C94593"/>
    <w:rsid w:val="00C967C1"/>
    <w:rsid w:val="00C96B2F"/>
    <w:rsid w:val="00C96B48"/>
    <w:rsid w:val="00C97220"/>
    <w:rsid w:val="00C97DDB"/>
    <w:rsid w:val="00CA01CA"/>
    <w:rsid w:val="00CA0496"/>
    <w:rsid w:val="00CA2DDD"/>
    <w:rsid w:val="00CA3974"/>
    <w:rsid w:val="00CA3DB8"/>
    <w:rsid w:val="00CA48F0"/>
    <w:rsid w:val="00CA50F8"/>
    <w:rsid w:val="00CA5227"/>
    <w:rsid w:val="00CA5242"/>
    <w:rsid w:val="00CA563D"/>
    <w:rsid w:val="00CA5734"/>
    <w:rsid w:val="00CA658D"/>
    <w:rsid w:val="00CA71DB"/>
    <w:rsid w:val="00CA755F"/>
    <w:rsid w:val="00CB0766"/>
    <w:rsid w:val="00CB0781"/>
    <w:rsid w:val="00CB0970"/>
    <w:rsid w:val="00CB13B3"/>
    <w:rsid w:val="00CB19B7"/>
    <w:rsid w:val="00CB2461"/>
    <w:rsid w:val="00CB259C"/>
    <w:rsid w:val="00CB3FA2"/>
    <w:rsid w:val="00CB4090"/>
    <w:rsid w:val="00CB4670"/>
    <w:rsid w:val="00CB46F7"/>
    <w:rsid w:val="00CB553C"/>
    <w:rsid w:val="00CB5967"/>
    <w:rsid w:val="00CB5AD4"/>
    <w:rsid w:val="00CB5AF6"/>
    <w:rsid w:val="00CB60AD"/>
    <w:rsid w:val="00CB7093"/>
    <w:rsid w:val="00CB7AC6"/>
    <w:rsid w:val="00CB7DB7"/>
    <w:rsid w:val="00CC0847"/>
    <w:rsid w:val="00CC0F50"/>
    <w:rsid w:val="00CC1084"/>
    <w:rsid w:val="00CC2DB9"/>
    <w:rsid w:val="00CC2F97"/>
    <w:rsid w:val="00CC38CC"/>
    <w:rsid w:val="00CC3DA6"/>
    <w:rsid w:val="00CC3E8D"/>
    <w:rsid w:val="00CC457E"/>
    <w:rsid w:val="00CC4CE7"/>
    <w:rsid w:val="00CC7213"/>
    <w:rsid w:val="00CC7324"/>
    <w:rsid w:val="00CC7329"/>
    <w:rsid w:val="00CC7AEA"/>
    <w:rsid w:val="00CD0241"/>
    <w:rsid w:val="00CD0D51"/>
    <w:rsid w:val="00CD1055"/>
    <w:rsid w:val="00CD1487"/>
    <w:rsid w:val="00CD22DA"/>
    <w:rsid w:val="00CD3495"/>
    <w:rsid w:val="00CD36C8"/>
    <w:rsid w:val="00CD387F"/>
    <w:rsid w:val="00CD3B8A"/>
    <w:rsid w:val="00CD42F0"/>
    <w:rsid w:val="00CD477F"/>
    <w:rsid w:val="00CD4AAD"/>
    <w:rsid w:val="00CD565B"/>
    <w:rsid w:val="00CD652C"/>
    <w:rsid w:val="00CD6EED"/>
    <w:rsid w:val="00CE0418"/>
    <w:rsid w:val="00CE1510"/>
    <w:rsid w:val="00CE164F"/>
    <w:rsid w:val="00CE1A24"/>
    <w:rsid w:val="00CE1A3A"/>
    <w:rsid w:val="00CE1D33"/>
    <w:rsid w:val="00CE3552"/>
    <w:rsid w:val="00CE3D7D"/>
    <w:rsid w:val="00CE3DCC"/>
    <w:rsid w:val="00CE3FCB"/>
    <w:rsid w:val="00CE41E0"/>
    <w:rsid w:val="00CE4EB0"/>
    <w:rsid w:val="00CE4F4A"/>
    <w:rsid w:val="00CE54A4"/>
    <w:rsid w:val="00CE6368"/>
    <w:rsid w:val="00CE6FB5"/>
    <w:rsid w:val="00CE71E6"/>
    <w:rsid w:val="00CE7687"/>
    <w:rsid w:val="00CE7E6D"/>
    <w:rsid w:val="00CF03D6"/>
    <w:rsid w:val="00CF05F7"/>
    <w:rsid w:val="00CF09D8"/>
    <w:rsid w:val="00CF0B08"/>
    <w:rsid w:val="00CF11DA"/>
    <w:rsid w:val="00CF1537"/>
    <w:rsid w:val="00CF1709"/>
    <w:rsid w:val="00CF1A24"/>
    <w:rsid w:val="00CF1A77"/>
    <w:rsid w:val="00CF20E7"/>
    <w:rsid w:val="00CF2D89"/>
    <w:rsid w:val="00CF3874"/>
    <w:rsid w:val="00CF55B5"/>
    <w:rsid w:val="00CF57CF"/>
    <w:rsid w:val="00CF6B1C"/>
    <w:rsid w:val="00CF742B"/>
    <w:rsid w:val="00CF7C8D"/>
    <w:rsid w:val="00D01A0D"/>
    <w:rsid w:val="00D02147"/>
    <w:rsid w:val="00D02B3A"/>
    <w:rsid w:val="00D02D58"/>
    <w:rsid w:val="00D0324F"/>
    <w:rsid w:val="00D03431"/>
    <w:rsid w:val="00D03603"/>
    <w:rsid w:val="00D0387C"/>
    <w:rsid w:val="00D040D9"/>
    <w:rsid w:val="00D04946"/>
    <w:rsid w:val="00D054E7"/>
    <w:rsid w:val="00D05AC0"/>
    <w:rsid w:val="00D060C0"/>
    <w:rsid w:val="00D07570"/>
    <w:rsid w:val="00D07640"/>
    <w:rsid w:val="00D1005E"/>
    <w:rsid w:val="00D1044B"/>
    <w:rsid w:val="00D106CB"/>
    <w:rsid w:val="00D108F8"/>
    <w:rsid w:val="00D1136F"/>
    <w:rsid w:val="00D11789"/>
    <w:rsid w:val="00D11AD4"/>
    <w:rsid w:val="00D12640"/>
    <w:rsid w:val="00D1389D"/>
    <w:rsid w:val="00D138D3"/>
    <w:rsid w:val="00D139D4"/>
    <w:rsid w:val="00D13D94"/>
    <w:rsid w:val="00D1417C"/>
    <w:rsid w:val="00D147AE"/>
    <w:rsid w:val="00D1483E"/>
    <w:rsid w:val="00D14C0A"/>
    <w:rsid w:val="00D156C9"/>
    <w:rsid w:val="00D15DD2"/>
    <w:rsid w:val="00D16244"/>
    <w:rsid w:val="00D16D3B"/>
    <w:rsid w:val="00D16EF2"/>
    <w:rsid w:val="00D16F66"/>
    <w:rsid w:val="00D16F97"/>
    <w:rsid w:val="00D20D84"/>
    <w:rsid w:val="00D2131F"/>
    <w:rsid w:val="00D218CE"/>
    <w:rsid w:val="00D21E2A"/>
    <w:rsid w:val="00D222EC"/>
    <w:rsid w:val="00D22C27"/>
    <w:rsid w:val="00D23296"/>
    <w:rsid w:val="00D23684"/>
    <w:rsid w:val="00D23839"/>
    <w:rsid w:val="00D2446D"/>
    <w:rsid w:val="00D24AC0"/>
    <w:rsid w:val="00D24EBA"/>
    <w:rsid w:val="00D26975"/>
    <w:rsid w:val="00D26AE0"/>
    <w:rsid w:val="00D270F5"/>
    <w:rsid w:val="00D275D2"/>
    <w:rsid w:val="00D2791F"/>
    <w:rsid w:val="00D306FC"/>
    <w:rsid w:val="00D3162A"/>
    <w:rsid w:val="00D31757"/>
    <w:rsid w:val="00D32EC0"/>
    <w:rsid w:val="00D33332"/>
    <w:rsid w:val="00D34DB1"/>
    <w:rsid w:val="00D34FFF"/>
    <w:rsid w:val="00D3501F"/>
    <w:rsid w:val="00D3584D"/>
    <w:rsid w:val="00D358D0"/>
    <w:rsid w:val="00D35B0F"/>
    <w:rsid w:val="00D36386"/>
    <w:rsid w:val="00D36730"/>
    <w:rsid w:val="00D36F6D"/>
    <w:rsid w:val="00D36FC5"/>
    <w:rsid w:val="00D37073"/>
    <w:rsid w:val="00D37885"/>
    <w:rsid w:val="00D378AF"/>
    <w:rsid w:val="00D379C2"/>
    <w:rsid w:val="00D408C9"/>
    <w:rsid w:val="00D411BE"/>
    <w:rsid w:val="00D41FBE"/>
    <w:rsid w:val="00D42F13"/>
    <w:rsid w:val="00D42F1E"/>
    <w:rsid w:val="00D43E71"/>
    <w:rsid w:val="00D43E75"/>
    <w:rsid w:val="00D4418A"/>
    <w:rsid w:val="00D4423B"/>
    <w:rsid w:val="00D44A00"/>
    <w:rsid w:val="00D44C8D"/>
    <w:rsid w:val="00D44CFD"/>
    <w:rsid w:val="00D4622C"/>
    <w:rsid w:val="00D475CF"/>
    <w:rsid w:val="00D47FE1"/>
    <w:rsid w:val="00D50206"/>
    <w:rsid w:val="00D50BF6"/>
    <w:rsid w:val="00D51060"/>
    <w:rsid w:val="00D519EE"/>
    <w:rsid w:val="00D527FC"/>
    <w:rsid w:val="00D528DE"/>
    <w:rsid w:val="00D53F32"/>
    <w:rsid w:val="00D5516D"/>
    <w:rsid w:val="00D55650"/>
    <w:rsid w:val="00D5614A"/>
    <w:rsid w:val="00D561A2"/>
    <w:rsid w:val="00D5644C"/>
    <w:rsid w:val="00D56802"/>
    <w:rsid w:val="00D57F97"/>
    <w:rsid w:val="00D60478"/>
    <w:rsid w:val="00D608D1"/>
    <w:rsid w:val="00D60C8F"/>
    <w:rsid w:val="00D61143"/>
    <w:rsid w:val="00D61C2A"/>
    <w:rsid w:val="00D61F9F"/>
    <w:rsid w:val="00D622BB"/>
    <w:rsid w:val="00D6262F"/>
    <w:rsid w:val="00D62AA0"/>
    <w:rsid w:val="00D63684"/>
    <w:rsid w:val="00D63EB9"/>
    <w:rsid w:val="00D64E02"/>
    <w:rsid w:val="00D652CB"/>
    <w:rsid w:val="00D6549D"/>
    <w:rsid w:val="00D659D0"/>
    <w:rsid w:val="00D662F6"/>
    <w:rsid w:val="00D66CB3"/>
    <w:rsid w:val="00D677C6"/>
    <w:rsid w:val="00D700CD"/>
    <w:rsid w:val="00D7032B"/>
    <w:rsid w:val="00D70852"/>
    <w:rsid w:val="00D710A6"/>
    <w:rsid w:val="00D71845"/>
    <w:rsid w:val="00D71C52"/>
    <w:rsid w:val="00D73E92"/>
    <w:rsid w:val="00D74179"/>
    <w:rsid w:val="00D76AA4"/>
    <w:rsid w:val="00D76BBF"/>
    <w:rsid w:val="00D76C7B"/>
    <w:rsid w:val="00D77310"/>
    <w:rsid w:val="00D77369"/>
    <w:rsid w:val="00D77917"/>
    <w:rsid w:val="00D80244"/>
    <w:rsid w:val="00D819CD"/>
    <w:rsid w:val="00D81C55"/>
    <w:rsid w:val="00D822E4"/>
    <w:rsid w:val="00D824AD"/>
    <w:rsid w:val="00D829F5"/>
    <w:rsid w:val="00D84662"/>
    <w:rsid w:val="00D84861"/>
    <w:rsid w:val="00D84B28"/>
    <w:rsid w:val="00D85818"/>
    <w:rsid w:val="00D87523"/>
    <w:rsid w:val="00D876F8"/>
    <w:rsid w:val="00D90711"/>
    <w:rsid w:val="00D908AF"/>
    <w:rsid w:val="00D910DE"/>
    <w:rsid w:val="00D918AF"/>
    <w:rsid w:val="00D9190F"/>
    <w:rsid w:val="00D924A6"/>
    <w:rsid w:val="00D925EE"/>
    <w:rsid w:val="00D92898"/>
    <w:rsid w:val="00D928C0"/>
    <w:rsid w:val="00D92BB4"/>
    <w:rsid w:val="00D92CE1"/>
    <w:rsid w:val="00D92DC7"/>
    <w:rsid w:val="00D93115"/>
    <w:rsid w:val="00D9361C"/>
    <w:rsid w:val="00D94984"/>
    <w:rsid w:val="00D94EBD"/>
    <w:rsid w:val="00D95D52"/>
    <w:rsid w:val="00D96CAB"/>
    <w:rsid w:val="00D97056"/>
    <w:rsid w:val="00D975AF"/>
    <w:rsid w:val="00D9776C"/>
    <w:rsid w:val="00DA12DD"/>
    <w:rsid w:val="00DA1933"/>
    <w:rsid w:val="00DA35BE"/>
    <w:rsid w:val="00DA3D88"/>
    <w:rsid w:val="00DA3DBA"/>
    <w:rsid w:val="00DA3F6B"/>
    <w:rsid w:val="00DA4008"/>
    <w:rsid w:val="00DA445C"/>
    <w:rsid w:val="00DA44E7"/>
    <w:rsid w:val="00DA4908"/>
    <w:rsid w:val="00DA49CD"/>
    <w:rsid w:val="00DA5598"/>
    <w:rsid w:val="00DA58FA"/>
    <w:rsid w:val="00DA5F92"/>
    <w:rsid w:val="00DA64B8"/>
    <w:rsid w:val="00DA66AB"/>
    <w:rsid w:val="00DA7ECE"/>
    <w:rsid w:val="00DB0A36"/>
    <w:rsid w:val="00DB196D"/>
    <w:rsid w:val="00DB1CF5"/>
    <w:rsid w:val="00DB20BE"/>
    <w:rsid w:val="00DB21D6"/>
    <w:rsid w:val="00DB280F"/>
    <w:rsid w:val="00DB31FC"/>
    <w:rsid w:val="00DB33B7"/>
    <w:rsid w:val="00DB3A17"/>
    <w:rsid w:val="00DB417B"/>
    <w:rsid w:val="00DB46A6"/>
    <w:rsid w:val="00DB5FB8"/>
    <w:rsid w:val="00DB64D4"/>
    <w:rsid w:val="00DB681A"/>
    <w:rsid w:val="00DB759B"/>
    <w:rsid w:val="00DB7AA0"/>
    <w:rsid w:val="00DB7D3B"/>
    <w:rsid w:val="00DC0F14"/>
    <w:rsid w:val="00DC2869"/>
    <w:rsid w:val="00DC2DF4"/>
    <w:rsid w:val="00DC2E86"/>
    <w:rsid w:val="00DC32A7"/>
    <w:rsid w:val="00DC3DD2"/>
    <w:rsid w:val="00DC448A"/>
    <w:rsid w:val="00DC4F75"/>
    <w:rsid w:val="00DC4FAB"/>
    <w:rsid w:val="00DC5F9C"/>
    <w:rsid w:val="00DC62A9"/>
    <w:rsid w:val="00DC695F"/>
    <w:rsid w:val="00DC71EE"/>
    <w:rsid w:val="00DC76A7"/>
    <w:rsid w:val="00DC783B"/>
    <w:rsid w:val="00DC7D7A"/>
    <w:rsid w:val="00DD071B"/>
    <w:rsid w:val="00DD0B08"/>
    <w:rsid w:val="00DD12FF"/>
    <w:rsid w:val="00DD23D8"/>
    <w:rsid w:val="00DD2C0A"/>
    <w:rsid w:val="00DD3670"/>
    <w:rsid w:val="00DD3E7D"/>
    <w:rsid w:val="00DD4774"/>
    <w:rsid w:val="00DD5DA6"/>
    <w:rsid w:val="00DD612F"/>
    <w:rsid w:val="00DE00E3"/>
    <w:rsid w:val="00DE04D7"/>
    <w:rsid w:val="00DE064C"/>
    <w:rsid w:val="00DE0672"/>
    <w:rsid w:val="00DE0B06"/>
    <w:rsid w:val="00DE0C22"/>
    <w:rsid w:val="00DE0D7C"/>
    <w:rsid w:val="00DE0DCD"/>
    <w:rsid w:val="00DE0E30"/>
    <w:rsid w:val="00DE0E49"/>
    <w:rsid w:val="00DE13F3"/>
    <w:rsid w:val="00DE351E"/>
    <w:rsid w:val="00DE398D"/>
    <w:rsid w:val="00DE3BC9"/>
    <w:rsid w:val="00DE42A8"/>
    <w:rsid w:val="00DE4B73"/>
    <w:rsid w:val="00DE5B75"/>
    <w:rsid w:val="00DE6846"/>
    <w:rsid w:val="00DE7522"/>
    <w:rsid w:val="00DE7655"/>
    <w:rsid w:val="00DF0BA2"/>
    <w:rsid w:val="00DF0DC3"/>
    <w:rsid w:val="00DF11B6"/>
    <w:rsid w:val="00DF19D4"/>
    <w:rsid w:val="00DF1DBC"/>
    <w:rsid w:val="00DF21C8"/>
    <w:rsid w:val="00DF222E"/>
    <w:rsid w:val="00DF271B"/>
    <w:rsid w:val="00DF2916"/>
    <w:rsid w:val="00DF2ED2"/>
    <w:rsid w:val="00DF380E"/>
    <w:rsid w:val="00DF3ECA"/>
    <w:rsid w:val="00DF4E87"/>
    <w:rsid w:val="00DF5502"/>
    <w:rsid w:val="00DF5B29"/>
    <w:rsid w:val="00DF5DA3"/>
    <w:rsid w:val="00DF7513"/>
    <w:rsid w:val="00E001A6"/>
    <w:rsid w:val="00E00619"/>
    <w:rsid w:val="00E0072B"/>
    <w:rsid w:val="00E00A21"/>
    <w:rsid w:val="00E011E1"/>
    <w:rsid w:val="00E0120A"/>
    <w:rsid w:val="00E01279"/>
    <w:rsid w:val="00E021A8"/>
    <w:rsid w:val="00E0291D"/>
    <w:rsid w:val="00E031F0"/>
    <w:rsid w:val="00E03389"/>
    <w:rsid w:val="00E03DFF"/>
    <w:rsid w:val="00E03E65"/>
    <w:rsid w:val="00E0543F"/>
    <w:rsid w:val="00E05F62"/>
    <w:rsid w:val="00E06180"/>
    <w:rsid w:val="00E06354"/>
    <w:rsid w:val="00E10C08"/>
    <w:rsid w:val="00E10DEF"/>
    <w:rsid w:val="00E1108A"/>
    <w:rsid w:val="00E11DA7"/>
    <w:rsid w:val="00E11DB5"/>
    <w:rsid w:val="00E120F5"/>
    <w:rsid w:val="00E1261B"/>
    <w:rsid w:val="00E12813"/>
    <w:rsid w:val="00E13197"/>
    <w:rsid w:val="00E13651"/>
    <w:rsid w:val="00E138E2"/>
    <w:rsid w:val="00E14967"/>
    <w:rsid w:val="00E14D4A"/>
    <w:rsid w:val="00E15EA8"/>
    <w:rsid w:val="00E168FA"/>
    <w:rsid w:val="00E172E5"/>
    <w:rsid w:val="00E17C49"/>
    <w:rsid w:val="00E17EB5"/>
    <w:rsid w:val="00E204FD"/>
    <w:rsid w:val="00E20AAA"/>
    <w:rsid w:val="00E21F56"/>
    <w:rsid w:val="00E2291D"/>
    <w:rsid w:val="00E22DBB"/>
    <w:rsid w:val="00E234B2"/>
    <w:rsid w:val="00E24158"/>
    <w:rsid w:val="00E2421F"/>
    <w:rsid w:val="00E2464C"/>
    <w:rsid w:val="00E248F7"/>
    <w:rsid w:val="00E2508A"/>
    <w:rsid w:val="00E254A0"/>
    <w:rsid w:val="00E26311"/>
    <w:rsid w:val="00E30062"/>
    <w:rsid w:val="00E31573"/>
    <w:rsid w:val="00E33113"/>
    <w:rsid w:val="00E336F5"/>
    <w:rsid w:val="00E33730"/>
    <w:rsid w:val="00E3376E"/>
    <w:rsid w:val="00E337EB"/>
    <w:rsid w:val="00E33EE7"/>
    <w:rsid w:val="00E34855"/>
    <w:rsid w:val="00E3782F"/>
    <w:rsid w:val="00E37B39"/>
    <w:rsid w:val="00E37E6E"/>
    <w:rsid w:val="00E40DA5"/>
    <w:rsid w:val="00E40FF6"/>
    <w:rsid w:val="00E4114E"/>
    <w:rsid w:val="00E4129E"/>
    <w:rsid w:val="00E41705"/>
    <w:rsid w:val="00E422D0"/>
    <w:rsid w:val="00E42AAF"/>
    <w:rsid w:val="00E42B4C"/>
    <w:rsid w:val="00E43158"/>
    <w:rsid w:val="00E43820"/>
    <w:rsid w:val="00E44E57"/>
    <w:rsid w:val="00E45674"/>
    <w:rsid w:val="00E45D42"/>
    <w:rsid w:val="00E47532"/>
    <w:rsid w:val="00E50201"/>
    <w:rsid w:val="00E50554"/>
    <w:rsid w:val="00E505F5"/>
    <w:rsid w:val="00E5063B"/>
    <w:rsid w:val="00E50E64"/>
    <w:rsid w:val="00E5116F"/>
    <w:rsid w:val="00E5149B"/>
    <w:rsid w:val="00E51602"/>
    <w:rsid w:val="00E51AE1"/>
    <w:rsid w:val="00E51D01"/>
    <w:rsid w:val="00E51DA4"/>
    <w:rsid w:val="00E52312"/>
    <w:rsid w:val="00E5295A"/>
    <w:rsid w:val="00E52C3D"/>
    <w:rsid w:val="00E53357"/>
    <w:rsid w:val="00E53667"/>
    <w:rsid w:val="00E53709"/>
    <w:rsid w:val="00E53BDC"/>
    <w:rsid w:val="00E541A5"/>
    <w:rsid w:val="00E548BE"/>
    <w:rsid w:val="00E56B59"/>
    <w:rsid w:val="00E5710D"/>
    <w:rsid w:val="00E5746B"/>
    <w:rsid w:val="00E61950"/>
    <w:rsid w:val="00E61E45"/>
    <w:rsid w:val="00E62DC1"/>
    <w:rsid w:val="00E641C6"/>
    <w:rsid w:val="00E641E7"/>
    <w:rsid w:val="00E64AD5"/>
    <w:rsid w:val="00E64D28"/>
    <w:rsid w:val="00E64F0B"/>
    <w:rsid w:val="00E64F1E"/>
    <w:rsid w:val="00E65054"/>
    <w:rsid w:val="00E65C17"/>
    <w:rsid w:val="00E66284"/>
    <w:rsid w:val="00E6628E"/>
    <w:rsid w:val="00E67571"/>
    <w:rsid w:val="00E6784C"/>
    <w:rsid w:val="00E67960"/>
    <w:rsid w:val="00E710E7"/>
    <w:rsid w:val="00E722C3"/>
    <w:rsid w:val="00E72405"/>
    <w:rsid w:val="00E72508"/>
    <w:rsid w:val="00E72711"/>
    <w:rsid w:val="00E73129"/>
    <w:rsid w:val="00E73DCD"/>
    <w:rsid w:val="00E73FC9"/>
    <w:rsid w:val="00E742DD"/>
    <w:rsid w:val="00E75848"/>
    <w:rsid w:val="00E75B2A"/>
    <w:rsid w:val="00E76250"/>
    <w:rsid w:val="00E76734"/>
    <w:rsid w:val="00E76C76"/>
    <w:rsid w:val="00E76DC4"/>
    <w:rsid w:val="00E77170"/>
    <w:rsid w:val="00E777C5"/>
    <w:rsid w:val="00E77855"/>
    <w:rsid w:val="00E802EF"/>
    <w:rsid w:val="00E80D96"/>
    <w:rsid w:val="00E813F5"/>
    <w:rsid w:val="00E81BB3"/>
    <w:rsid w:val="00E81E0C"/>
    <w:rsid w:val="00E82488"/>
    <w:rsid w:val="00E82593"/>
    <w:rsid w:val="00E8288D"/>
    <w:rsid w:val="00E82F66"/>
    <w:rsid w:val="00E83ADC"/>
    <w:rsid w:val="00E83C57"/>
    <w:rsid w:val="00E83EE0"/>
    <w:rsid w:val="00E83FAA"/>
    <w:rsid w:val="00E8482B"/>
    <w:rsid w:val="00E84CF1"/>
    <w:rsid w:val="00E85202"/>
    <w:rsid w:val="00E85AA0"/>
    <w:rsid w:val="00E86443"/>
    <w:rsid w:val="00E864CF"/>
    <w:rsid w:val="00E8765F"/>
    <w:rsid w:val="00E90772"/>
    <w:rsid w:val="00E90785"/>
    <w:rsid w:val="00E90FF7"/>
    <w:rsid w:val="00E91554"/>
    <w:rsid w:val="00E91B6F"/>
    <w:rsid w:val="00E921BA"/>
    <w:rsid w:val="00E9252F"/>
    <w:rsid w:val="00E926F0"/>
    <w:rsid w:val="00E94EC8"/>
    <w:rsid w:val="00E9501D"/>
    <w:rsid w:val="00E952A9"/>
    <w:rsid w:val="00E96CC7"/>
    <w:rsid w:val="00E9704A"/>
    <w:rsid w:val="00E97315"/>
    <w:rsid w:val="00E97745"/>
    <w:rsid w:val="00E97909"/>
    <w:rsid w:val="00E97CA9"/>
    <w:rsid w:val="00EA014F"/>
    <w:rsid w:val="00EA076E"/>
    <w:rsid w:val="00EA1112"/>
    <w:rsid w:val="00EA25C9"/>
    <w:rsid w:val="00EA31A6"/>
    <w:rsid w:val="00EA3322"/>
    <w:rsid w:val="00EA436E"/>
    <w:rsid w:val="00EA452F"/>
    <w:rsid w:val="00EA4789"/>
    <w:rsid w:val="00EA4869"/>
    <w:rsid w:val="00EA4F56"/>
    <w:rsid w:val="00EA602D"/>
    <w:rsid w:val="00EA650F"/>
    <w:rsid w:val="00EA6743"/>
    <w:rsid w:val="00EA6AEB"/>
    <w:rsid w:val="00EA6F9F"/>
    <w:rsid w:val="00EA709F"/>
    <w:rsid w:val="00EA795C"/>
    <w:rsid w:val="00EA7BAF"/>
    <w:rsid w:val="00EA7BE1"/>
    <w:rsid w:val="00EB0C57"/>
    <w:rsid w:val="00EB140A"/>
    <w:rsid w:val="00EB3366"/>
    <w:rsid w:val="00EB3865"/>
    <w:rsid w:val="00EB3B24"/>
    <w:rsid w:val="00EB4B23"/>
    <w:rsid w:val="00EB4E4B"/>
    <w:rsid w:val="00EB5A20"/>
    <w:rsid w:val="00EB5A62"/>
    <w:rsid w:val="00EB5E10"/>
    <w:rsid w:val="00EB6099"/>
    <w:rsid w:val="00EB6111"/>
    <w:rsid w:val="00EB7081"/>
    <w:rsid w:val="00EC075F"/>
    <w:rsid w:val="00EC0BF5"/>
    <w:rsid w:val="00EC0F02"/>
    <w:rsid w:val="00EC0F59"/>
    <w:rsid w:val="00EC10B7"/>
    <w:rsid w:val="00EC12C5"/>
    <w:rsid w:val="00EC1B8C"/>
    <w:rsid w:val="00EC1DD3"/>
    <w:rsid w:val="00EC1F63"/>
    <w:rsid w:val="00EC25ED"/>
    <w:rsid w:val="00EC3170"/>
    <w:rsid w:val="00EC41EB"/>
    <w:rsid w:val="00EC4394"/>
    <w:rsid w:val="00EC63E5"/>
    <w:rsid w:val="00EC65F5"/>
    <w:rsid w:val="00EC72E8"/>
    <w:rsid w:val="00EC7C59"/>
    <w:rsid w:val="00EC7CB0"/>
    <w:rsid w:val="00ED0111"/>
    <w:rsid w:val="00ED0401"/>
    <w:rsid w:val="00ED0FF5"/>
    <w:rsid w:val="00ED1ACB"/>
    <w:rsid w:val="00ED1E83"/>
    <w:rsid w:val="00ED2426"/>
    <w:rsid w:val="00ED279E"/>
    <w:rsid w:val="00ED2A66"/>
    <w:rsid w:val="00ED346C"/>
    <w:rsid w:val="00ED3827"/>
    <w:rsid w:val="00ED3E5E"/>
    <w:rsid w:val="00ED46E7"/>
    <w:rsid w:val="00ED4E03"/>
    <w:rsid w:val="00ED588A"/>
    <w:rsid w:val="00ED5BFE"/>
    <w:rsid w:val="00ED63D8"/>
    <w:rsid w:val="00ED7F42"/>
    <w:rsid w:val="00EE05D0"/>
    <w:rsid w:val="00EE14EF"/>
    <w:rsid w:val="00EE19DF"/>
    <w:rsid w:val="00EE1B5D"/>
    <w:rsid w:val="00EE1D7A"/>
    <w:rsid w:val="00EE1F44"/>
    <w:rsid w:val="00EE2834"/>
    <w:rsid w:val="00EE2BFD"/>
    <w:rsid w:val="00EE3888"/>
    <w:rsid w:val="00EE38BA"/>
    <w:rsid w:val="00EE3CE2"/>
    <w:rsid w:val="00EE51A5"/>
    <w:rsid w:val="00EE58E2"/>
    <w:rsid w:val="00EE62AA"/>
    <w:rsid w:val="00EE78D7"/>
    <w:rsid w:val="00EE7E5E"/>
    <w:rsid w:val="00EF0632"/>
    <w:rsid w:val="00EF12A0"/>
    <w:rsid w:val="00EF1745"/>
    <w:rsid w:val="00EF1E6B"/>
    <w:rsid w:val="00EF1EA4"/>
    <w:rsid w:val="00EF233B"/>
    <w:rsid w:val="00EF2700"/>
    <w:rsid w:val="00EF2B13"/>
    <w:rsid w:val="00EF38E3"/>
    <w:rsid w:val="00EF40AA"/>
    <w:rsid w:val="00EF46B0"/>
    <w:rsid w:val="00EF4C37"/>
    <w:rsid w:val="00EF5741"/>
    <w:rsid w:val="00EF598F"/>
    <w:rsid w:val="00EF602C"/>
    <w:rsid w:val="00EF61CF"/>
    <w:rsid w:val="00EF627E"/>
    <w:rsid w:val="00EF6A4D"/>
    <w:rsid w:val="00EF6DC7"/>
    <w:rsid w:val="00EF6DD7"/>
    <w:rsid w:val="00EF7498"/>
    <w:rsid w:val="00EF7D23"/>
    <w:rsid w:val="00F00C94"/>
    <w:rsid w:val="00F010BB"/>
    <w:rsid w:val="00F012FE"/>
    <w:rsid w:val="00F0168A"/>
    <w:rsid w:val="00F01A92"/>
    <w:rsid w:val="00F01DA4"/>
    <w:rsid w:val="00F027C9"/>
    <w:rsid w:val="00F027D8"/>
    <w:rsid w:val="00F02EBD"/>
    <w:rsid w:val="00F030E4"/>
    <w:rsid w:val="00F03629"/>
    <w:rsid w:val="00F041A4"/>
    <w:rsid w:val="00F04F7F"/>
    <w:rsid w:val="00F0503A"/>
    <w:rsid w:val="00F057F2"/>
    <w:rsid w:val="00F061B3"/>
    <w:rsid w:val="00F0666C"/>
    <w:rsid w:val="00F06F54"/>
    <w:rsid w:val="00F072F7"/>
    <w:rsid w:val="00F079A2"/>
    <w:rsid w:val="00F07A26"/>
    <w:rsid w:val="00F07A8C"/>
    <w:rsid w:val="00F11110"/>
    <w:rsid w:val="00F11A28"/>
    <w:rsid w:val="00F11D89"/>
    <w:rsid w:val="00F125D1"/>
    <w:rsid w:val="00F12D39"/>
    <w:rsid w:val="00F13465"/>
    <w:rsid w:val="00F136DF"/>
    <w:rsid w:val="00F13DDC"/>
    <w:rsid w:val="00F14D30"/>
    <w:rsid w:val="00F155B6"/>
    <w:rsid w:val="00F15C2B"/>
    <w:rsid w:val="00F15D30"/>
    <w:rsid w:val="00F1612B"/>
    <w:rsid w:val="00F170F1"/>
    <w:rsid w:val="00F175AA"/>
    <w:rsid w:val="00F2014B"/>
    <w:rsid w:val="00F202FB"/>
    <w:rsid w:val="00F2034A"/>
    <w:rsid w:val="00F205A7"/>
    <w:rsid w:val="00F20B44"/>
    <w:rsid w:val="00F20D26"/>
    <w:rsid w:val="00F21A39"/>
    <w:rsid w:val="00F220B2"/>
    <w:rsid w:val="00F233B7"/>
    <w:rsid w:val="00F239F7"/>
    <w:rsid w:val="00F24932"/>
    <w:rsid w:val="00F24C84"/>
    <w:rsid w:val="00F2556F"/>
    <w:rsid w:val="00F2612E"/>
    <w:rsid w:val="00F263FB"/>
    <w:rsid w:val="00F26E35"/>
    <w:rsid w:val="00F27099"/>
    <w:rsid w:val="00F272F3"/>
    <w:rsid w:val="00F27AC4"/>
    <w:rsid w:val="00F27EE2"/>
    <w:rsid w:val="00F306E8"/>
    <w:rsid w:val="00F319FB"/>
    <w:rsid w:val="00F321E4"/>
    <w:rsid w:val="00F32E0B"/>
    <w:rsid w:val="00F3329D"/>
    <w:rsid w:val="00F335C5"/>
    <w:rsid w:val="00F3460E"/>
    <w:rsid w:val="00F34E5F"/>
    <w:rsid w:val="00F35860"/>
    <w:rsid w:val="00F37227"/>
    <w:rsid w:val="00F377BE"/>
    <w:rsid w:val="00F40B1A"/>
    <w:rsid w:val="00F41687"/>
    <w:rsid w:val="00F41CA7"/>
    <w:rsid w:val="00F41F01"/>
    <w:rsid w:val="00F4449A"/>
    <w:rsid w:val="00F44A6F"/>
    <w:rsid w:val="00F44E66"/>
    <w:rsid w:val="00F45D27"/>
    <w:rsid w:val="00F469F1"/>
    <w:rsid w:val="00F46E04"/>
    <w:rsid w:val="00F470C6"/>
    <w:rsid w:val="00F471FB"/>
    <w:rsid w:val="00F479A9"/>
    <w:rsid w:val="00F503D3"/>
    <w:rsid w:val="00F5060D"/>
    <w:rsid w:val="00F50650"/>
    <w:rsid w:val="00F517CF"/>
    <w:rsid w:val="00F51B17"/>
    <w:rsid w:val="00F51B7B"/>
    <w:rsid w:val="00F51BA9"/>
    <w:rsid w:val="00F51C21"/>
    <w:rsid w:val="00F5287B"/>
    <w:rsid w:val="00F52EA1"/>
    <w:rsid w:val="00F53E5B"/>
    <w:rsid w:val="00F548FE"/>
    <w:rsid w:val="00F54908"/>
    <w:rsid w:val="00F54DCB"/>
    <w:rsid w:val="00F550F0"/>
    <w:rsid w:val="00F55AF3"/>
    <w:rsid w:val="00F55C8E"/>
    <w:rsid w:val="00F56B65"/>
    <w:rsid w:val="00F60C54"/>
    <w:rsid w:val="00F60DC1"/>
    <w:rsid w:val="00F612BC"/>
    <w:rsid w:val="00F61433"/>
    <w:rsid w:val="00F61552"/>
    <w:rsid w:val="00F616D9"/>
    <w:rsid w:val="00F61946"/>
    <w:rsid w:val="00F61E2C"/>
    <w:rsid w:val="00F61FBF"/>
    <w:rsid w:val="00F637D3"/>
    <w:rsid w:val="00F63DA4"/>
    <w:rsid w:val="00F6500C"/>
    <w:rsid w:val="00F652B9"/>
    <w:rsid w:val="00F65606"/>
    <w:rsid w:val="00F65815"/>
    <w:rsid w:val="00F65D4F"/>
    <w:rsid w:val="00F65D62"/>
    <w:rsid w:val="00F662A1"/>
    <w:rsid w:val="00F66A20"/>
    <w:rsid w:val="00F66B7D"/>
    <w:rsid w:val="00F6719A"/>
    <w:rsid w:val="00F672DE"/>
    <w:rsid w:val="00F70727"/>
    <w:rsid w:val="00F70D5E"/>
    <w:rsid w:val="00F70DB0"/>
    <w:rsid w:val="00F71908"/>
    <w:rsid w:val="00F71B34"/>
    <w:rsid w:val="00F72AFB"/>
    <w:rsid w:val="00F72C09"/>
    <w:rsid w:val="00F7384C"/>
    <w:rsid w:val="00F73BF6"/>
    <w:rsid w:val="00F744EB"/>
    <w:rsid w:val="00F75813"/>
    <w:rsid w:val="00F7583A"/>
    <w:rsid w:val="00F75EB8"/>
    <w:rsid w:val="00F7689D"/>
    <w:rsid w:val="00F773E5"/>
    <w:rsid w:val="00F77415"/>
    <w:rsid w:val="00F77574"/>
    <w:rsid w:val="00F77CB3"/>
    <w:rsid w:val="00F80E10"/>
    <w:rsid w:val="00F81464"/>
    <w:rsid w:val="00F81EA4"/>
    <w:rsid w:val="00F8200A"/>
    <w:rsid w:val="00F824CF"/>
    <w:rsid w:val="00F82FBA"/>
    <w:rsid w:val="00F83072"/>
    <w:rsid w:val="00F8363A"/>
    <w:rsid w:val="00F836CF"/>
    <w:rsid w:val="00F84505"/>
    <w:rsid w:val="00F848F3"/>
    <w:rsid w:val="00F84C8F"/>
    <w:rsid w:val="00F850C1"/>
    <w:rsid w:val="00F85871"/>
    <w:rsid w:val="00F85C3B"/>
    <w:rsid w:val="00F86200"/>
    <w:rsid w:val="00F86788"/>
    <w:rsid w:val="00F86971"/>
    <w:rsid w:val="00F876C3"/>
    <w:rsid w:val="00F87ED1"/>
    <w:rsid w:val="00F900DC"/>
    <w:rsid w:val="00F90281"/>
    <w:rsid w:val="00F907A0"/>
    <w:rsid w:val="00F91AD8"/>
    <w:rsid w:val="00F91E4A"/>
    <w:rsid w:val="00F91F2B"/>
    <w:rsid w:val="00F921D4"/>
    <w:rsid w:val="00F92417"/>
    <w:rsid w:val="00F92954"/>
    <w:rsid w:val="00F92CFA"/>
    <w:rsid w:val="00F93267"/>
    <w:rsid w:val="00F93CE0"/>
    <w:rsid w:val="00F946B9"/>
    <w:rsid w:val="00F94A83"/>
    <w:rsid w:val="00F94C1B"/>
    <w:rsid w:val="00F94EDA"/>
    <w:rsid w:val="00F94F90"/>
    <w:rsid w:val="00F953CE"/>
    <w:rsid w:val="00F96236"/>
    <w:rsid w:val="00F9670C"/>
    <w:rsid w:val="00F968EC"/>
    <w:rsid w:val="00F97119"/>
    <w:rsid w:val="00FA088D"/>
    <w:rsid w:val="00FA0BEB"/>
    <w:rsid w:val="00FA1848"/>
    <w:rsid w:val="00FA1B89"/>
    <w:rsid w:val="00FA2004"/>
    <w:rsid w:val="00FA20B3"/>
    <w:rsid w:val="00FA2CA3"/>
    <w:rsid w:val="00FA336E"/>
    <w:rsid w:val="00FA3420"/>
    <w:rsid w:val="00FA34A3"/>
    <w:rsid w:val="00FA378F"/>
    <w:rsid w:val="00FA3A8A"/>
    <w:rsid w:val="00FA3F37"/>
    <w:rsid w:val="00FA4C90"/>
    <w:rsid w:val="00FA52CE"/>
    <w:rsid w:val="00FA56A1"/>
    <w:rsid w:val="00FA58B5"/>
    <w:rsid w:val="00FA5C06"/>
    <w:rsid w:val="00FA6289"/>
    <w:rsid w:val="00FA7565"/>
    <w:rsid w:val="00FA7BFE"/>
    <w:rsid w:val="00FB283B"/>
    <w:rsid w:val="00FB2E9C"/>
    <w:rsid w:val="00FB2FEE"/>
    <w:rsid w:val="00FB30DE"/>
    <w:rsid w:val="00FB39D1"/>
    <w:rsid w:val="00FB3B38"/>
    <w:rsid w:val="00FB530A"/>
    <w:rsid w:val="00FB5636"/>
    <w:rsid w:val="00FB5D47"/>
    <w:rsid w:val="00FB61FB"/>
    <w:rsid w:val="00FB636E"/>
    <w:rsid w:val="00FB720A"/>
    <w:rsid w:val="00FB7794"/>
    <w:rsid w:val="00FB7E75"/>
    <w:rsid w:val="00FC0034"/>
    <w:rsid w:val="00FC01EF"/>
    <w:rsid w:val="00FC02B6"/>
    <w:rsid w:val="00FC0923"/>
    <w:rsid w:val="00FC1536"/>
    <w:rsid w:val="00FC16A9"/>
    <w:rsid w:val="00FC1DCF"/>
    <w:rsid w:val="00FC27F7"/>
    <w:rsid w:val="00FC290C"/>
    <w:rsid w:val="00FC2997"/>
    <w:rsid w:val="00FC3B63"/>
    <w:rsid w:val="00FC3E0F"/>
    <w:rsid w:val="00FC4312"/>
    <w:rsid w:val="00FC4C1F"/>
    <w:rsid w:val="00FC4ECE"/>
    <w:rsid w:val="00FC51CE"/>
    <w:rsid w:val="00FC5349"/>
    <w:rsid w:val="00FC6486"/>
    <w:rsid w:val="00FC6FF2"/>
    <w:rsid w:val="00FC7260"/>
    <w:rsid w:val="00FC7E44"/>
    <w:rsid w:val="00FC7E6A"/>
    <w:rsid w:val="00FD0765"/>
    <w:rsid w:val="00FD0AA5"/>
    <w:rsid w:val="00FD10F8"/>
    <w:rsid w:val="00FD181E"/>
    <w:rsid w:val="00FD19C8"/>
    <w:rsid w:val="00FD1D05"/>
    <w:rsid w:val="00FD33EB"/>
    <w:rsid w:val="00FD366B"/>
    <w:rsid w:val="00FD3893"/>
    <w:rsid w:val="00FD38A6"/>
    <w:rsid w:val="00FD4362"/>
    <w:rsid w:val="00FD5E35"/>
    <w:rsid w:val="00FD6037"/>
    <w:rsid w:val="00FD603C"/>
    <w:rsid w:val="00FD6229"/>
    <w:rsid w:val="00FD67AA"/>
    <w:rsid w:val="00FD6899"/>
    <w:rsid w:val="00FD72B7"/>
    <w:rsid w:val="00FD72DF"/>
    <w:rsid w:val="00FD74C8"/>
    <w:rsid w:val="00FD7951"/>
    <w:rsid w:val="00FD7C57"/>
    <w:rsid w:val="00FD7C7C"/>
    <w:rsid w:val="00FD7D13"/>
    <w:rsid w:val="00FE0014"/>
    <w:rsid w:val="00FE0144"/>
    <w:rsid w:val="00FE073F"/>
    <w:rsid w:val="00FE0A85"/>
    <w:rsid w:val="00FE173C"/>
    <w:rsid w:val="00FE1889"/>
    <w:rsid w:val="00FE23EE"/>
    <w:rsid w:val="00FE352B"/>
    <w:rsid w:val="00FE3659"/>
    <w:rsid w:val="00FE396D"/>
    <w:rsid w:val="00FE3A8F"/>
    <w:rsid w:val="00FE3D11"/>
    <w:rsid w:val="00FE4035"/>
    <w:rsid w:val="00FE4897"/>
    <w:rsid w:val="00FE533E"/>
    <w:rsid w:val="00FE562D"/>
    <w:rsid w:val="00FE5D33"/>
    <w:rsid w:val="00FE6BAC"/>
    <w:rsid w:val="00FE6DCC"/>
    <w:rsid w:val="00FF0BF8"/>
    <w:rsid w:val="00FF15A1"/>
    <w:rsid w:val="00FF18F7"/>
    <w:rsid w:val="00FF191F"/>
    <w:rsid w:val="00FF1D2B"/>
    <w:rsid w:val="00FF2594"/>
    <w:rsid w:val="00FF333C"/>
    <w:rsid w:val="00FF4566"/>
    <w:rsid w:val="00FF5C26"/>
    <w:rsid w:val="00FF5E6B"/>
    <w:rsid w:val="00FF62EB"/>
    <w:rsid w:val="00FF6A52"/>
    <w:rsid w:val="00FF6AF6"/>
    <w:rsid w:val="00FF6EDD"/>
    <w:rsid w:val="00FF7135"/>
    <w:rsid w:val="00FF73F4"/>
    <w:rsid w:val="00FF7497"/>
    <w:rsid w:val="00FF74E5"/>
    <w:rsid w:val="00FF7680"/>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F3CCBEA"/>
  <w15:docId w15:val="{1B18E206-F863-4896-BF7C-8BDA9BD6A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1CFA"/>
    <w:pPr>
      <w:spacing w:line="300" w:lineRule="auto"/>
      <w:jc w:val="both"/>
    </w:pPr>
    <w:rPr>
      <w:sz w:val="20"/>
    </w:rPr>
  </w:style>
  <w:style w:type="paragraph" w:styleId="Heading1">
    <w:name w:val="heading 1"/>
    <w:next w:val="Normal"/>
    <w:link w:val="Heading1Char"/>
    <w:uiPriority w:val="9"/>
    <w:qFormat/>
    <w:rsid w:val="00226C3A"/>
    <w:pPr>
      <w:keepNext/>
      <w:keepLines/>
      <w:pageBreakBefore/>
      <w:numPr>
        <w:numId w:val="43"/>
      </w:numPr>
      <w:spacing w:before="480" w:after="240" w:line="240" w:lineRule="auto"/>
      <w:outlineLvl w:val="0"/>
    </w:pPr>
    <w:rPr>
      <w:rFonts w:asciiTheme="majorHAnsi" w:eastAsiaTheme="majorEastAsia" w:hAnsiTheme="majorHAnsi" w:cstheme="majorBidi"/>
      <w:b/>
      <w:bCs/>
      <w:color w:val="395775" w:themeColor="accent1"/>
      <w:sz w:val="36"/>
      <w:szCs w:val="36"/>
    </w:rPr>
  </w:style>
  <w:style w:type="paragraph" w:styleId="Heading2">
    <w:name w:val="heading 2"/>
    <w:basedOn w:val="Heading1"/>
    <w:next w:val="Normal"/>
    <w:link w:val="Heading2Char"/>
    <w:uiPriority w:val="9"/>
    <w:unhideWhenUsed/>
    <w:qFormat/>
    <w:rsid w:val="002812D6"/>
    <w:pPr>
      <w:pageBreakBefore w:val="0"/>
      <w:numPr>
        <w:ilvl w:val="1"/>
      </w:numPr>
      <w:spacing w:before="400" w:after="60" w:line="288" w:lineRule="auto"/>
      <w:outlineLvl w:val="1"/>
    </w:pPr>
    <w:rPr>
      <w:bCs w:val="0"/>
      <w:color w:val="D77F16" w:themeColor="accent2"/>
      <w:sz w:val="26"/>
      <w:szCs w:val="26"/>
    </w:rPr>
  </w:style>
  <w:style w:type="paragraph" w:styleId="Heading3">
    <w:name w:val="heading 3"/>
    <w:basedOn w:val="Heading2"/>
    <w:next w:val="Normal"/>
    <w:link w:val="Heading3Char"/>
    <w:uiPriority w:val="9"/>
    <w:unhideWhenUsed/>
    <w:qFormat/>
    <w:rsid w:val="00171541"/>
    <w:pPr>
      <w:numPr>
        <w:ilvl w:val="2"/>
      </w:numPr>
      <w:ind w:left="720"/>
      <w:outlineLvl w:val="2"/>
    </w:pPr>
    <w:rPr>
      <w:bCs/>
      <w:color w:val="395775" w:themeColor="accent1"/>
      <w:sz w:val="24"/>
      <w:szCs w:val="24"/>
    </w:rPr>
  </w:style>
  <w:style w:type="paragraph" w:styleId="Heading4">
    <w:name w:val="heading 4"/>
    <w:basedOn w:val="Heading3"/>
    <w:next w:val="Normal"/>
    <w:link w:val="Heading4Char"/>
    <w:uiPriority w:val="9"/>
    <w:unhideWhenUsed/>
    <w:qFormat/>
    <w:rsid w:val="002812D6"/>
    <w:pPr>
      <w:numPr>
        <w:ilvl w:val="3"/>
      </w:numPr>
      <w:tabs>
        <w:tab w:val="left" w:pos="895"/>
      </w:tabs>
      <w:spacing w:before="360" w:after="40"/>
      <w:outlineLvl w:val="3"/>
    </w:pPr>
    <w:rPr>
      <w:bCs w:val="0"/>
      <w:iCs/>
      <w:color w:val="000000" w:themeColor="text1"/>
      <w:sz w:val="20"/>
      <w:szCs w:val="20"/>
    </w:rPr>
  </w:style>
  <w:style w:type="paragraph" w:styleId="Heading5">
    <w:name w:val="heading 5"/>
    <w:basedOn w:val="Normal"/>
    <w:next w:val="Normal"/>
    <w:link w:val="Heading5Char"/>
    <w:uiPriority w:val="9"/>
    <w:unhideWhenUsed/>
    <w:qFormat/>
    <w:rsid w:val="002812D6"/>
    <w:pPr>
      <w:keepNext/>
      <w:keepLines/>
      <w:numPr>
        <w:ilvl w:val="4"/>
        <w:numId w:val="43"/>
      </w:numPr>
      <w:spacing w:before="320" w:after="40" w:line="288" w:lineRule="auto"/>
      <w:outlineLvl w:val="4"/>
    </w:pPr>
    <w:rPr>
      <w:rFonts w:asciiTheme="majorHAnsi" w:eastAsiaTheme="majorEastAsia" w:hAnsiTheme="majorHAnsi" w:cstheme="majorBidi"/>
      <w:i/>
      <w:color w:val="000000" w:themeColor="text1"/>
      <w:szCs w:val="20"/>
    </w:rPr>
  </w:style>
  <w:style w:type="paragraph" w:styleId="Heading6">
    <w:name w:val="heading 6"/>
    <w:basedOn w:val="Normal"/>
    <w:next w:val="Normal"/>
    <w:link w:val="Heading6Char"/>
    <w:uiPriority w:val="9"/>
    <w:semiHidden/>
    <w:unhideWhenUsed/>
    <w:rsid w:val="00A23F27"/>
    <w:pPr>
      <w:keepNext/>
      <w:keepLines/>
      <w:numPr>
        <w:ilvl w:val="5"/>
        <w:numId w:val="43"/>
      </w:numPr>
      <w:spacing w:before="40" w:after="0"/>
      <w:outlineLvl w:val="5"/>
    </w:pPr>
    <w:rPr>
      <w:rFonts w:asciiTheme="majorHAnsi" w:eastAsiaTheme="majorEastAsia" w:hAnsiTheme="majorHAnsi" w:cstheme="majorBidi"/>
      <w:color w:val="1C2B3A" w:themeColor="accent1" w:themeShade="7F"/>
    </w:rPr>
  </w:style>
  <w:style w:type="paragraph" w:styleId="Heading7">
    <w:name w:val="heading 7"/>
    <w:basedOn w:val="Normal"/>
    <w:next w:val="Normal"/>
    <w:link w:val="Heading7Char"/>
    <w:uiPriority w:val="9"/>
    <w:semiHidden/>
    <w:unhideWhenUsed/>
    <w:qFormat/>
    <w:rsid w:val="00963743"/>
    <w:pPr>
      <w:keepNext/>
      <w:keepLines/>
      <w:numPr>
        <w:ilvl w:val="6"/>
        <w:numId w:val="43"/>
      </w:numPr>
      <w:spacing w:before="40" w:after="0"/>
      <w:outlineLvl w:val="6"/>
    </w:pPr>
    <w:rPr>
      <w:rFonts w:asciiTheme="majorHAnsi" w:eastAsiaTheme="majorEastAsia" w:hAnsiTheme="majorHAnsi" w:cstheme="majorBidi"/>
      <w:i/>
      <w:iCs/>
      <w:color w:val="1C2B3A" w:themeColor="accent1" w:themeShade="7F"/>
    </w:rPr>
  </w:style>
  <w:style w:type="paragraph" w:styleId="Heading8">
    <w:name w:val="heading 8"/>
    <w:basedOn w:val="Normal"/>
    <w:next w:val="Normal"/>
    <w:link w:val="Heading8Char"/>
    <w:uiPriority w:val="9"/>
    <w:semiHidden/>
    <w:unhideWhenUsed/>
    <w:qFormat/>
    <w:rsid w:val="00963743"/>
    <w:pPr>
      <w:keepNext/>
      <w:keepLines/>
      <w:numPr>
        <w:ilvl w:val="7"/>
        <w:numId w:val="4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63743"/>
    <w:pPr>
      <w:keepNext/>
      <w:keepLines/>
      <w:numPr>
        <w:ilvl w:val="8"/>
        <w:numId w:val="4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rsid w:val="00495D7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495D7A"/>
    <w:rPr>
      <w:rFonts w:eastAsiaTheme="minorEastAsia"/>
      <w:lang w:val="en-US" w:eastAsia="ja-JP"/>
    </w:rPr>
  </w:style>
  <w:style w:type="paragraph" w:styleId="BalloonText">
    <w:name w:val="Balloon Text"/>
    <w:basedOn w:val="Normal"/>
    <w:link w:val="BalloonTextChar"/>
    <w:uiPriority w:val="99"/>
    <w:semiHidden/>
    <w:unhideWhenUsed/>
    <w:rsid w:val="00495D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D7A"/>
    <w:rPr>
      <w:rFonts w:ascii="Tahoma" w:hAnsi="Tahoma" w:cs="Tahoma"/>
      <w:sz w:val="16"/>
      <w:szCs w:val="16"/>
    </w:rPr>
  </w:style>
  <w:style w:type="paragraph" w:customStyle="1" w:styleId="Forside3">
    <w:name w:val="Forside 3"/>
    <w:basedOn w:val="Normal"/>
    <w:rsid w:val="00036508"/>
    <w:pPr>
      <w:spacing w:after="120" w:line="240" w:lineRule="auto"/>
      <w:jc w:val="right"/>
    </w:pPr>
    <w:rPr>
      <w:rFonts w:ascii="Calibri" w:eastAsia="Calibri" w:hAnsi="Calibri" w:cs="Times New Roman"/>
      <w:b/>
      <w:noProof/>
      <w:color w:val="FFFFFF"/>
      <w:szCs w:val="24"/>
    </w:rPr>
  </w:style>
  <w:style w:type="paragraph" w:customStyle="1" w:styleId="Forside">
    <w:name w:val="Forside"/>
    <w:basedOn w:val="Normal"/>
    <w:rsid w:val="00700C77"/>
    <w:pPr>
      <w:spacing w:before="120" w:after="0" w:line="720" w:lineRule="exact"/>
    </w:pPr>
    <w:rPr>
      <w:rFonts w:ascii="Calibri" w:eastAsia="Calibri" w:hAnsi="Calibri" w:cs="Times New Roman"/>
      <w:b/>
      <w:noProof/>
      <w:color w:val="212426"/>
      <w:sz w:val="64"/>
      <w:szCs w:val="24"/>
    </w:rPr>
  </w:style>
  <w:style w:type="paragraph" w:customStyle="1" w:styleId="Forside2">
    <w:name w:val="Forside 2"/>
    <w:basedOn w:val="Forside"/>
    <w:rsid w:val="00700C77"/>
    <w:pPr>
      <w:spacing w:line="240" w:lineRule="exact"/>
    </w:pPr>
    <w:rPr>
      <w:b w:val="0"/>
      <w:sz w:val="20"/>
    </w:rPr>
  </w:style>
  <w:style w:type="paragraph" w:styleId="Header">
    <w:name w:val="header"/>
    <w:basedOn w:val="Normal"/>
    <w:link w:val="HeaderChar"/>
    <w:unhideWhenUsed/>
    <w:rsid w:val="004505CD"/>
    <w:pPr>
      <w:tabs>
        <w:tab w:val="center" w:pos="4536"/>
        <w:tab w:val="right" w:pos="9072"/>
      </w:tabs>
      <w:spacing w:after="0" w:line="240" w:lineRule="auto"/>
    </w:pPr>
  </w:style>
  <w:style w:type="character" w:customStyle="1" w:styleId="HeaderChar">
    <w:name w:val="Header Char"/>
    <w:basedOn w:val="DefaultParagraphFont"/>
    <w:link w:val="Header"/>
    <w:rsid w:val="004505CD"/>
  </w:style>
  <w:style w:type="paragraph" w:styleId="Footer">
    <w:name w:val="footer"/>
    <w:basedOn w:val="Normal"/>
    <w:link w:val="FooterChar"/>
    <w:uiPriority w:val="99"/>
    <w:unhideWhenUsed/>
    <w:rsid w:val="004505CD"/>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05CD"/>
  </w:style>
  <w:style w:type="character" w:styleId="PageNumber">
    <w:name w:val="page number"/>
    <w:basedOn w:val="DefaultParagraphFont"/>
    <w:uiPriority w:val="99"/>
    <w:rsid w:val="002B64B9"/>
  </w:style>
  <w:style w:type="character" w:customStyle="1" w:styleId="Heading1Char">
    <w:name w:val="Heading 1 Char"/>
    <w:basedOn w:val="DefaultParagraphFont"/>
    <w:link w:val="Heading1"/>
    <w:uiPriority w:val="9"/>
    <w:rsid w:val="00226C3A"/>
    <w:rPr>
      <w:rFonts w:asciiTheme="majorHAnsi" w:eastAsiaTheme="majorEastAsia" w:hAnsiTheme="majorHAnsi" w:cstheme="majorBidi"/>
      <w:b/>
      <w:bCs/>
      <w:color w:val="395775" w:themeColor="accent1"/>
      <w:sz w:val="36"/>
      <w:szCs w:val="36"/>
    </w:rPr>
  </w:style>
  <w:style w:type="character" w:customStyle="1" w:styleId="Heading2Char">
    <w:name w:val="Heading 2 Char"/>
    <w:basedOn w:val="DefaultParagraphFont"/>
    <w:link w:val="Heading2"/>
    <w:uiPriority w:val="9"/>
    <w:rsid w:val="002812D6"/>
    <w:rPr>
      <w:rFonts w:asciiTheme="majorHAnsi" w:eastAsiaTheme="majorEastAsia" w:hAnsiTheme="majorHAnsi" w:cstheme="majorBidi"/>
      <w:b/>
      <w:color w:val="D77F16" w:themeColor="accent2"/>
      <w:sz w:val="26"/>
      <w:szCs w:val="26"/>
    </w:rPr>
  </w:style>
  <w:style w:type="character" w:customStyle="1" w:styleId="Heading3Char">
    <w:name w:val="Heading 3 Char"/>
    <w:basedOn w:val="DefaultParagraphFont"/>
    <w:link w:val="Heading3"/>
    <w:uiPriority w:val="9"/>
    <w:rsid w:val="00171541"/>
    <w:rPr>
      <w:rFonts w:asciiTheme="majorHAnsi" w:eastAsiaTheme="majorEastAsia" w:hAnsiTheme="majorHAnsi" w:cstheme="majorBidi"/>
      <w:b/>
      <w:bCs/>
      <w:color w:val="395775" w:themeColor="accent1"/>
      <w:sz w:val="24"/>
      <w:szCs w:val="24"/>
    </w:rPr>
  </w:style>
  <w:style w:type="paragraph" w:styleId="ListParagraph">
    <w:name w:val="List Paragraph"/>
    <w:aliases w:val="footer,Bullet Styles para,Numbered Para 1,Dot pt,No Spacing1,List Paragraph Char Char Char,Indicator Text,List Paragraph1,Bullet Points,MAIN CONTENT,List Paragraph12,F5 List Paragraph,Reference - description"/>
    <w:basedOn w:val="Normal"/>
    <w:link w:val="ListParagraphChar"/>
    <w:uiPriority w:val="34"/>
    <w:qFormat/>
    <w:rsid w:val="002B6B95"/>
    <w:pPr>
      <w:contextualSpacing/>
    </w:pPr>
  </w:style>
  <w:style w:type="character" w:customStyle="1" w:styleId="Heading4Char">
    <w:name w:val="Heading 4 Char"/>
    <w:basedOn w:val="DefaultParagraphFont"/>
    <w:link w:val="Heading4"/>
    <w:uiPriority w:val="9"/>
    <w:rsid w:val="002812D6"/>
    <w:rPr>
      <w:rFonts w:asciiTheme="majorHAnsi" w:eastAsiaTheme="majorEastAsia" w:hAnsiTheme="majorHAnsi" w:cstheme="majorBidi"/>
      <w:b/>
      <w:iCs/>
      <w:color w:val="000000" w:themeColor="text1"/>
      <w:sz w:val="20"/>
      <w:szCs w:val="20"/>
    </w:rPr>
  </w:style>
  <w:style w:type="numbering" w:customStyle="1" w:styleId="Headings">
    <w:name w:val="Headings"/>
    <w:uiPriority w:val="99"/>
    <w:rsid w:val="000E054A"/>
    <w:pPr>
      <w:numPr>
        <w:numId w:val="3"/>
      </w:numPr>
    </w:pPr>
  </w:style>
  <w:style w:type="paragraph" w:styleId="Caption">
    <w:name w:val="caption"/>
    <w:aliases w:val="JBV-tabell,DNV-cap,Bildetekst Tegn Tegn Tegn,Bildetekst Tegn Tegn Tegn Tegn Tegn,Bildetekst Tegn Tegn Tegn Tegn, Tegn,Tegn,Kuva- ja taulukkoteksti"/>
    <w:basedOn w:val="Normal"/>
    <w:next w:val="Normal"/>
    <w:link w:val="CaptionChar"/>
    <w:uiPriority w:val="99"/>
    <w:unhideWhenUsed/>
    <w:qFormat/>
    <w:rsid w:val="002812D6"/>
    <w:pPr>
      <w:keepNext/>
      <w:keepLines/>
      <w:spacing w:before="440" w:line="240" w:lineRule="auto"/>
    </w:pPr>
    <w:rPr>
      <w:b/>
      <w:bCs/>
      <w:color w:val="395775" w:themeColor="accent1"/>
      <w:sz w:val="18"/>
      <w:szCs w:val="18"/>
    </w:rPr>
  </w:style>
  <w:style w:type="paragraph" w:styleId="FootnoteText">
    <w:name w:val="footnote text"/>
    <w:aliases w:val="DFSListFootnote,DNV-FT"/>
    <w:basedOn w:val="Normal"/>
    <w:link w:val="FootnoteTextChar"/>
    <w:unhideWhenUsed/>
    <w:rsid w:val="00A01247"/>
    <w:pPr>
      <w:spacing w:after="0" w:line="240" w:lineRule="auto"/>
    </w:pPr>
    <w:rPr>
      <w:i/>
      <w:sz w:val="19"/>
      <w:szCs w:val="19"/>
    </w:rPr>
  </w:style>
  <w:style w:type="character" w:customStyle="1" w:styleId="FootnoteTextChar">
    <w:name w:val="Footnote Text Char"/>
    <w:aliases w:val="DFSListFootnote Char,DNV-FT Char"/>
    <w:basedOn w:val="DefaultParagraphFont"/>
    <w:link w:val="FootnoteText"/>
    <w:rsid w:val="00A01247"/>
    <w:rPr>
      <w:i/>
      <w:sz w:val="19"/>
      <w:szCs w:val="19"/>
    </w:rPr>
  </w:style>
  <w:style w:type="character" w:styleId="FootnoteReference">
    <w:name w:val="footnote reference"/>
    <w:basedOn w:val="DefaultParagraphFont"/>
    <w:uiPriority w:val="99"/>
    <w:unhideWhenUsed/>
    <w:rsid w:val="000E054A"/>
    <w:rPr>
      <w:vertAlign w:val="superscript"/>
    </w:rPr>
  </w:style>
  <w:style w:type="table" w:styleId="TableGrid">
    <w:name w:val="Table Grid"/>
    <w:basedOn w:val="TableNormal"/>
    <w:uiPriority w:val="39"/>
    <w:rsid w:val="00E9704A"/>
    <w:pPr>
      <w:spacing w:after="0" w:line="240" w:lineRule="auto"/>
    </w:pPr>
    <w:rPr>
      <w:sz w:val="20"/>
    </w:rPr>
    <w:tblPr>
      <w:tblStyleRowBandSize w:val="1"/>
      <w:tblStyleColBandSize w:val="1"/>
      <w:tblBorders>
        <w:bottom w:val="single" w:sz="4" w:space="0" w:color="auto"/>
        <w:insideH w:val="dotted" w:sz="4" w:space="0" w:color="A6B340" w:themeColor="accent5"/>
      </w:tblBorders>
    </w:tblPr>
    <w:tcPr>
      <w:shd w:val="clear" w:color="auto" w:fill="auto"/>
    </w:tcPr>
    <w:tblStylePr w:type="firstRow">
      <w:tblPr/>
      <w:tcPr>
        <w:tcBorders>
          <w:top w:val="nil"/>
          <w:left w:val="nil"/>
          <w:bottom w:val="single" w:sz="8" w:space="0" w:color="395775" w:themeColor="accent1"/>
          <w:right w:val="nil"/>
          <w:insideH w:val="nil"/>
          <w:insideV w:val="nil"/>
          <w:tl2br w:val="nil"/>
          <w:tr2bl w:val="nil"/>
        </w:tcBorders>
      </w:tcPr>
    </w:tblStylePr>
    <w:tblStylePr w:type="band1Vert">
      <w:tblPr/>
      <w:tcPr>
        <w:shd w:val="clear" w:color="auto" w:fill="F0F5FA"/>
      </w:tcPr>
    </w:tblStylePr>
  </w:style>
  <w:style w:type="paragraph" w:customStyle="1" w:styleId="Tabelltekst">
    <w:name w:val="Tabelltekst"/>
    <w:basedOn w:val="Normal"/>
    <w:link w:val="TabelltekstChar"/>
    <w:rsid w:val="00F27AC4"/>
    <w:pPr>
      <w:spacing w:line="216" w:lineRule="auto"/>
    </w:pPr>
    <w:rPr>
      <w:lang w:val="en-US"/>
    </w:rPr>
  </w:style>
  <w:style w:type="character" w:customStyle="1" w:styleId="TabelltekstChar">
    <w:name w:val="Tabelltekst Char"/>
    <w:basedOn w:val="DefaultParagraphFont"/>
    <w:link w:val="Tabelltekst"/>
    <w:rsid w:val="00F27AC4"/>
    <w:rPr>
      <w:sz w:val="20"/>
      <w:lang w:val="en-US"/>
    </w:rPr>
  </w:style>
  <w:style w:type="paragraph" w:styleId="TOCHeading">
    <w:name w:val="TOC Heading"/>
    <w:basedOn w:val="Heading1"/>
    <w:next w:val="Normal"/>
    <w:uiPriority w:val="39"/>
    <w:unhideWhenUsed/>
    <w:qFormat/>
    <w:rsid w:val="00AE5EFB"/>
    <w:pPr>
      <w:pageBreakBefore w:val="0"/>
      <w:numPr>
        <w:numId w:val="0"/>
      </w:numPr>
      <w:spacing w:after="600" w:line="276" w:lineRule="auto"/>
      <w:outlineLvl w:val="9"/>
    </w:pPr>
    <w:rPr>
      <w:lang w:val="en-US" w:eastAsia="ja-JP"/>
    </w:rPr>
  </w:style>
  <w:style w:type="paragraph" w:styleId="TOC1">
    <w:name w:val="toc 1"/>
    <w:next w:val="Normal"/>
    <w:uiPriority w:val="39"/>
    <w:unhideWhenUsed/>
    <w:rsid w:val="003C4EEF"/>
    <w:pPr>
      <w:tabs>
        <w:tab w:val="left" w:pos="510"/>
        <w:tab w:val="right" w:pos="9072"/>
      </w:tabs>
      <w:spacing w:before="160" w:after="0" w:line="220" w:lineRule="exact"/>
    </w:pPr>
    <w:rPr>
      <w:rFonts w:asciiTheme="majorHAnsi" w:hAnsiTheme="majorHAnsi"/>
      <w:b/>
      <w:bCs/>
      <w:caps/>
      <w:color w:val="000000" w:themeColor="text1"/>
      <w:sz w:val="18"/>
      <w:szCs w:val="24"/>
    </w:rPr>
  </w:style>
  <w:style w:type="paragraph" w:styleId="TOC2">
    <w:name w:val="toc 2"/>
    <w:basedOn w:val="Normal"/>
    <w:next w:val="Normal"/>
    <w:uiPriority w:val="39"/>
    <w:unhideWhenUsed/>
    <w:rsid w:val="000F1C9F"/>
    <w:pPr>
      <w:tabs>
        <w:tab w:val="left" w:pos="510"/>
        <w:tab w:val="right" w:pos="9072"/>
      </w:tabs>
      <w:spacing w:before="60" w:after="60" w:line="220" w:lineRule="exact"/>
    </w:pPr>
    <w:rPr>
      <w:bCs/>
      <w:sz w:val="18"/>
      <w:szCs w:val="20"/>
    </w:rPr>
  </w:style>
  <w:style w:type="paragraph" w:styleId="TOC3">
    <w:name w:val="toc 3"/>
    <w:basedOn w:val="Normal"/>
    <w:next w:val="Normal"/>
    <w:uiPriority w:val="39"/>
    <w:unhideWhenUsed/>
    <w:rsid w:val="000F1C9F"/>
    <w:pPr>
      <w:tabs>
        <w:tab w:val="left" w:pos="510"/>
        <w:tab w:val="right" w:pos="9072"/>
      </w:tabs>
      <w:spacing w:before="60" w:after="60" w:line="220" w:lineRule="exact"/>
    </w:pPr>
    <w:rPr>
      <w:sz w:val="18"/>
      <w:szCs w:val="20"/>
    </w:rPr>
  </w:style>
  <w:style w:type="character" w:styleId="Hyperlink">
    <w:name w:val="Hyperlink"/>
    <w:basedOn w:val="DefaultParagraphFont"/>
    <w:uiPriority w:val="99"/>
    <w:unhideWhenUsed/>
    <w:rsid w:val="004A227F"/>
    <w:rPr>
      <w:color w:val="0432FF" w:themeColor="hyperlink"/>
      <w:u w:val="single"/>
    </w:rPr>
  </w:style>
  <w:style w:type="character" w:styleId="CommentReference">
    <w:name w:val="annotation reference"/>
    <w:basedOn w:val="DefaultParagraphFont"/>
    <w:uiPriority w:val="99"/>
    <w:semiHidden/>
    <w:unhideWhenUsed/>
    <w:rsid w:val="00E168FA"/>
    <w:rPr>
      <w:sz w:val="16"/>
      <w:szCs w:val="16"/>
    </w:rPr>
  </w:style>
  <w:style w:type="paragraph" w:styleId="CommentText">
    <w:name w:val="annotation text"/>
    <w:basedOn w:val="Normal"/>
    <w:link w:val="CommentTextChar"/>
    <w:uiPriority w:val="99"/>
    <w:unhideWhenUsed/>
    <w:rsid w:val="00E168FA"/>
    <w:pPr>
      <w:spacing w:line="240" w:lineRule="auto"/>
    </w:pPr>
    <w:rPr>
      <w:szCs w:val="20"/>
    </w:rPr>
  </w:style>
  <w:style w:type="character" w:customStyle="1" w:styleId="CommentTextChar">
    <w:name w:val="Comment Text Char"/>
    <w:basedOn w:val="DefaultParagraphFont"/>
    <w:link w:val="CommentText"/>
    <w:uiPriority w:val="99"/>
    <w:rsid w:val="00E168FA"/>
    <w:rPr>
      <w:sz w:val="20"/>
      <w:szCs w:val="20"/>
    </w:rPr>
  </w:style>
  <w:style w:type="paragraph" w:styleId="CommentSubject">
    <w:name w:val="annotation subject"/>
    <w:basedOn w:val="CommentText"/>
    <w:next w:val="CommentText"/>
    <w:link w:val="CommentSubjectChar"/>
    <w:uiPriority w:val="99"/>
    <w:semiHidden/>
    <w:unhideWhenUsed/>
    <w:rsid w:val="00E168FA"/>
    <w:rPr>
      <w:b/>
      <w:bCs/>
    </w:rPr>
  </w:style>
  <w:style w:type="character" w:customStyle="1" w:styleId="CommentSubjectChar">
    <w:name w:val="Comment Subject Char"/>
    <w:basedOn w:val="CommentTextChar"/>
    <w:link w:val="CommentSubject"/>
    <w:uiPriority w:val="99"/>
    <w:semiHidden/>
    <w:rsid w:val="00E168FA"/>
    <w:rPr>
      <w:b/>
      <w:bCs/>
      <w:sz w:val="20"/>
      <w:szCs w:val="20"/>
    </w:rPr>
  </w:style>
  <w:style w:type="character" w:customStyle="1" w:styleId="Heading5Char">
    <w:name w:val="Heading 5 Char"/>
    <w:basedOn w:val="DefaultParagraphFont"/>
    <w:link w:val="Heading5"/>
    <w:uiPriority w:val="9"/>
    <w:rsid w:val="002812D6"/>
    <w:rPr>
      <w:rFonts w:asciiTheme="majorHAnsi" w:eastAsiaTheme="majorEastAsia" w:hAnsiTheme="majorHAnsi" w:cstheme="majorBidi"/>
      <w:i/>
      <w:color w:val="000000" w:themeColor="text1"/>
      <w:sz w:val="20"/>
      <w:szCs w:val="20"/>
    </w:rPr>
  </w:style>
  <w:style w:type="paragraph" w:customStyle="1" w:styleId="Ingress">
    <w:name w:val="Ingress"/>
    <w:basedOn w:val="Normal"/>
    <w:next w:val="Normal"/>
    <w:qFormat/>
    <w:rsid w:val="008B53AC"/>
    <w:pPr>
      <w:spacing w:after="360" w:line="264" w:lineRule="auto"/>
    </w:pPr>
    <w:rPr>
      <w:b/>
      <w:sz w:val="22"/>
    </w:rPr>
  </w:style>
  <w:style w:type="character" w:styleId="SubtleEmphasis">
    <w:name w:val="Subtle Emphasis"/>
    <w:aliases w:val="Cover 1"/>
    <w:uiPriority w:val="19"/>
    <w:rsid w:val="009B1F88"/>
    <w:rPr>
      <w:iCs/>
      <w:smallCaps/>
      <w:color w:val="404040"/>
      <w:sz w:val="30"/>
    </w:rPr>
  </w:style>
  <w:style w:type="character" w:styleId="Emphasis">
    <w:name w:val="Emphasis"/>
    <w:aliases w:val="Cover 2"/>
    <w:uiPriority w:val="20"/>
    <w:rsid w:val="009A4138"/>
    <w:rPr>
      <w:rFonts w:asciiTheme="majorHAnsi" w:hAnsiTheme="majorHAnsi"/>
      <w:b w:val="0"/>
      <w:i w:val="0"/>
      <w:iCs/>
      <w:caps/>
      <w:smallCaps w:val="0"/>
      <w:strike w:val="0"/>
      <w:dstrike w:val="0"/>
      <w:vanish w:val="0"/>
      <w:color w:val="404040"/>
      <w:spacing w:val="0"/>
      <w:kern w:val="0"/>
      <w:position w:val="0"/>
      <w:sz w:val="58"/>
      <w:u w:val="none"/>
      <w:vertAlign w:val="baseline"/>
      <w14:ligatures w14:val="none"/>
      <w14:numForm w14:val="default"/>
      <w14:numSpacing w14:val="default"/>
      <w14:stylisticSets/>
      <w14:cntxtAlts w14:val="0"/>
    </w:rPr>
  </w:style>
  <w:style w:type="paragraph" w:customStyle="1" w:styleId="M-Cover1">
    <w:name w:val="M-Cover 1"/>
    <w:next w:val="M-Cover2"/>
    <w:rsid w:val="009A4138"/>
    <w:pPr>
      <w:spacing w:after="120" w:line="260" w:lineRule="exact"/>
    </w:pPr>
    <w:rPr>
      <w:rFonts w:asciiTheme="majorHAnsi" w:hAnsiTheme="majorHAnsi"/>
      <w:b/>
      <w:color w:val="FFFFFF" w:themeColor="background1"/>
      <w:sz w:val="20"/>
      <w:szCs w:val="24"/>
    </w:rPr>
  </w:style>
  <w:style w:type="paragraph" w:customStyle="1" w:styleId="M-Cover2">
    <w:name w:val="M-Cover 2"/>
    <w:rsid w:val="009A4138"/>
    <w:pPr>
      <w:spacing w:after="0" w:line="440" w:lineRule="exact"/>
    </w:pPr>
    <w:rPr>
      <w:rFonts w:asciiTheme="majorHAnsi" w:hAnsiTheme="majorHAnsi"/>
      <w:caps/>
      <w:color w:val="404040"/>
      <w:sz w:val="58"/>
      <w:szCs w:val="24"/>
    </w:rPr>
  </w:style>
  <w:style w:type="paragraph" w:customStyle="1" w:styleId="M-Cover3">
    <w:name w:val="M-Cover 3"/>
    <w:rsid w:val="009A4138"/>
    <w:pPr>
      <w:spacing w:after="0" w:line="240" w:lineRule="auto"/>
    </w:pPr>
    <w:rPr>
      <w:rFonts w:asciiTheme="majorHAnsi" w:hAnsiTheme="majorHAnsi"/>
      <w:color w:val="404040"/>
      <w:sz w:val="30"/>
      <w:szCs w:val="24"/>
    </w:rPr>
  </w:style>
  <w:style w:type="character" w:customStyle="1" w:styleId="Heading6Char">
    <w:name w:val="Heading 6 Char"/>
    <w:basedOn w:val="DefaultParagraphFont"/>
    <w:link w:val="Heading6"/>
    <w:uiPriority w:val="9"/>
    <w:semiHidden/>
    <w:rsid w:val="00A23F27"/>
    <w:rPr>
      <w:rFonts w:asciiTheme="majorHAnsi" w:eastAsiaTheme="majorEastAsia" w:hAnsiTheme="majorHAnsi" w:cstheme="majorBidi"/>
      <w:color w:val="1C2B3A" w:themeColor="accent1" w:themeShade="7F"/>
      <w:sz w:val="20"/>
    </w:rPr>
  </w:style>
  <w:style w:type="paragraph" w:styleId="TOC4">
    <w:name w:val="toc 4"/>
    <w:basedOn w:val="Normal"/>
    <w:next w:val="Normal"/>
    <w:autoRedefine/>
    <w:uiPriority w:val="39"/>
    <w:unhideWhenUsed/>
    <w:rsid w:val="00DB20BE"/>
    <w:pPr>
      <w:spacing w:after="0"/>
      <w:ind w:left="400"/>
    </w:pPr>
    <w:rPr>
      <w:szCs w:val="20"/>
    </w:rPr>
  </w:style>
  <w:style w:type="paragraph" w:styleId="TOC5">
    <w:name w:val="toc 5"/>
    <w:basedOn w:val="Normal"/>
    <w:next w:val="Normal"/>
    <w:autoRedefine/>
    <w:uiPriority w:val="39"/>
    <w:unhideWhenUsed/>
    <w:rsid w:val="00DB20BE"/>
    <w:pPr>
      <w:spacing w:after="0"/>
      <w:ind w:left="600"/>
    </w:pPr>
    <w:rPr>
      <w:szCs w:val="20"/>
    </w:rPr>
  </w:style>
  <w:style w:type="paragraph" w:styleId="TOC6">
    <w:name w:val="toc 6"/>
    <w:basedOn w:val="Normal"/>
    <w:next w:val="Normal"/>
    <w:autoRedefine/>
    <w:uiPriority w:val="39"/>
    <w:unhideWhenUsed/>
    <w:rsid w:val="00DB20BE"/>
    <w:pPr>
      <w:spacing w:after="0"/>
      <w:ind w:left="800"/>
    </w:pPr>
    <w:rPr>
      <w:szCs w:val="20"/>
    </w:rPr>
  </w:style>
  <w:style w:type="paragraph" w:styleId="TOC7">
    <w:name w:val="toc 7"/>
    <w:basedOn w:val="Normal"/>
    <w:next w:val="Normal"/>
    <w:autoRedefine/>
    <w:uiPriority w:val="39"/>
    <w:unhideWhenUsed/>
    <w:rsid w:val="00DB20BE"/>
    <w:pPr>
      <w:spacing w:after="0"/>
      <w:ind w:left="1000"/>
    </w:pPr>
    <w:rPr>
      <w:szCs w:val="20"/>
    </w:rPr>
  </w:style>
  <w:style w:type="paragraph" w:styleId="TOC8">
    <w:name w:val="toc 8"/>
    <w:basedOn w:val="Normal"/>
    <w:next w:val="Normal"/>
    <w:autoRedefine/>
    <w:uiPriority w:val="39"/>
    <w:unhideWhenUsed/>
    <w:rsid w:val="00DB20BE"/>
    <w:pPr>
      <w:spacing w:after="0"/>
      <w:ind w:left="1200"/>
    </w:pPr>
    <w:rPr>
      <w:szCs w:val="20"/>
    </w:rPr>
  </w:style>
  <w:style w:type="paragraph" w:styleId="TOC9">
    <w:name w:val="toc 9"/>
    <w:basedOn w:val="Normal"/>
    <w:next w:val="Normal"/>
    <w:autoRedefine/>
    <w:uiPriority w:val="39"/>
    <w:unhideWhenUsed/>
    <w:rsid w:val="00DB20BE"/>
    <w:pPr>
      <w:spacing w:after="0"/>
      <w:ind w:left="1400"/>
    </w:pPr>
    <w:rPr>
      <w:szCs w:val="20"/>
    </w:rPr>
  </w:style>
  <w:style w:type="table" w:customStyle="1" w:styleId="Rutenettabell4-utheving11">
    <w:name w:val="Rutenettabell 4 - utheving 11"/>
    <w:basedOn w:val="TableNormal"/>
    <w:uiPriority w:val="49"/>
    <w:rsid w:val="00610254"/>
    <w:pPr>
      <w:spacing w:after="0" w:line="240" w:lineRule="auto"/>
    </w:pPr>
    <w:tblPr>
      <w:tblStyleRowBandSize w:val="1"/>
      <w:tblStyleColBandSize w:val="1"/>
      <w:tblBorders>
        <w:top w:val="single" w:sz="4" w:space="0" w:color="779ABD" w:themeColor="accent1" w:themeTint="99"/>
        <w:left w:val="single" w:sz="4" w:space="0" w:color="779ABD" w:themeColor="accent1" w:themeTint="99"/>
        <w:bottom w:val="single" w:sz="4" w:space="0" w:color="779ABD" w:themeColor="accent1" w:themeTint="99"/>
        <w:right w:val="single" w:sz="4" w:space="0" w:color="779ABD" w:themeColor="accent1" w:themeTint="99"/>
        <w:insideH w:val="single" w:sz="4" w:space="0" w:color="779ABD" w:themeColor="accent1" w:themeTint="99"/>
        <w:insideV w:val="single" w:sz="4" w:space="0" w:color="779ABD" w:themeColor="accent1" w:themeTint="99"/>
      </w:tblBorders>
    </w:tblPr>
    <w:tblStylePr w:type="firstRow">
      <w:rPr>
        <w:b/>
        <w:bCs/>
        <w:color w:val="FFFFFF" w:themeColor="background1"/>
      </w:rPr>
      <w:tblPr/>
      <w:tcPr>
        <w:tcBorders>
          <w:top w:val="single" w:sz="4" w:space="0" w:color="395775" w:themeColor="accent1"/>
          <w:left w:val="single" w:sz="4" w:space="0" w:color="395775" w:themeColor="accent1"/>
          <w:bottom w:val="single" w:sz="4" w:space="0" w:color="395775" w:themeColor="accent1"/>
          <w:right w:val="single" w:sz="4" w:space="0" w:color="395775" w:themeColor="accent1"/>
          <w:insideH w:val="nil"/>
          <w:insideV w:val="nil"/>
        </w:tcBorders>
        <w:shd w:val="clear" w:color="auto" w:fill="395775" w:themeFill="accent1"/>
      </w:tcPr>
    </w:tblStylePr>
    <w:tblStylePr w:type="lastRow">
      <w:rPr>
        <w:b/>
        <w:bCs/>
      </w:rPr>
      <w:tblPr/>
      <w:tcPr>
        <w:tcBorders>
          <w:top w:val="double" w:sz="4" w:space="0" w:color="395775" w:themeColor="accent1"/>
        </w:tcBorders>
      </w:tcPr>
    </w:tblStylePr>
    <w:tblStylePr w:type="firstCol">
      <w:rPr>
        <w:b/>
        <w:bCs/>
      </w:rPr>
    </w:tblStylePr>
    <w:tblStylePr w:type="lastCol">
      <w:rPr>
        <w:b/>
        <w:bCs/>
      </w:rPr>
    </w:tblStylePr>
    <w:tblStylePr w:type="band1Vert">
      <w:tblPr/>
      <w:tcPr>
        <w:shd w:val="clear" w:color="auto" w:fill="D1DDE9" w:themeFill="accent1" w:themeFillTint="33"/>
      </w:tcPr>
    </w:tblStylePr>
    <w:tblStylePr w:type="band1Horz">
      <w:tblPr/>
      <w:tcPr>
        <w:shd w:val="clear" w:color="auto" w:fill="D1DDE9" w:themeFill="accent1" w:themeFillTint="33"/>
      </w:tcPr>
    </w:tblStylePr>
  </w:style>
  <w:style w:type="table" w:customStyle="1" w:styleId="Rutenettabell5mrk-utheving11">
    <w:name w:val="Rutenettabell 5 mørk - utheving 11"/>
    <w:basedOn w:val="TableNormal"/>
    <w:uiPriority w:val="50"/>
    <w:rsid w:val="006102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DD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9577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9577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9577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95775" w:themeFill="accent1"/>
      </w:tcPr>
    </w:tblStylePr>
    <w:tblStylePr w:type="band1Vert">
      <w:tblPr/>
      <w:tcPr>
        <w:shd w:val="clear" w:color="auto" w:fill="A4BBD3" w:themeFill="accent1" w:themeFillTint="66"/>
      </w:tcPr>
    </w:tblStylePr>
    <w:tblStylePr w:type="band1Horz">
      <w:tblPr/>
      <w:tcPr>
        <w:shd w:val="clear" w:color="auto" w:fill="A4BBD3" w:themeFill="accent1" w:themeFillTint="66"/>
      </w:tcPr>
    </w:tblStylePr>
  </w:style>
  <w:style w:type="paragraph" w:customStyle="1" w:styleId="BunntekstMenon">
    <w:name w:val="Bunntekst Menon"/>
    <w:basedOn w:val="Normal"/>
    <w:rsid w:val="00D411BE"/>
    <w:pPr>
      <w:spacing w:after="0"/>
    </w:pPr>
    <w:rPr>
      <w:caps/>
      <w:color w:val="395775" w:themeColor="accent1"/>
      <w:spacing w:val="26"/>
      <w:sz w:val="18"/>
      <w:szCs w:val="18"/>
    </w:rPr>
  </w:style>
  <w:style w:type="paragraph" w:styleId="Index1">
    <w:name w:val="index 1"/>
    <w:basedOn w:val="Normal"/>
    <w:next w:val="Normal"/>
    <w:autoRedefine/>
    <w:uiPriority w:val="99"/>
    <w:unhideWhenUsed/>
    <w:rsid w:val="00A018D8"/>
    <w:pPr>
      <w:ind w:left="200" w:hanging="200"/>
    </w:pPr>
  </w:style>
  <w:style w:type="paragraph" w:styleId="Index2">
    <w:name w:val="index 2"/>
    <w:basedOn w:val="Normal"/>
    <w:next w:val="Normal"/>
    <w:autoRedefine/>
    <w:uiPriority w:val="99"/>
    <w:unhideWhenUsed/>
    <w:rsid w:val="00A018D8"/>
    <w:pPr>
      <w:ind w:left="400" w:hanging="200"/>
    </w:pPr>
  </w:style>
  <w:style w:type="paragraph" w:styleId="Index3">
    <w:name w:val="index 3"/>
    <w:basedOn w:val="Normal"/>
    <w:next w:val="Normal"/>
    <w:autoRedefine/>
    <w:uiPriority w:val="99"/>
    <w:unhideWhenUsed/>
    <w:rsid w:val="00A018D8"/>
    <w:pPr>
      <w:ind w:left="600" w:hanging="200"/>
    </w:pPr>
  </w:style>
  <w:style w:type="paragraph" w:styleId="Index4">
    <w:name w:val="index 4"/>
    <w:basedOn w:val="Normal"/>
    <w:next w:val="Normal"/>
    <w:autoRedefine/>
    <w:uiPriority w:val="99"/>
    <w:unhideWhenUsed/>
    <w:rsid w:val="00A018D8"/>
    <w:pPr>
      <w:ind w:left="800" w:hanging="200"/>
    </w:pPr>
  </w:style>
  <w:style w:type="paragraph" w:styleId="Index5">
    <w:name w:val="index 5"/>
    <w:basedOn w:val="Normal"/>
    <w:next w:val="Normal"/>
    <w:autoRedefine/>
    <w:uiPriority w:val="99"/>
    <w:unhideWhenUsed/>
    <w:rsid w:val="00A018D8"/>
    <w:pPr>
      <w:ind w:left="1000" w:hanging="200"/>
    </w:pPr>
  </w:style>
  <w:style w:type="paragraph" w:styleId="Index6">
    <w:name w:val="index 6"/>
    <w:basedOn w:val="Normal"/>
    <w:next w:val="Normal"/>
    <w:autoRedefine/>
    <w:uiPriority w:val="99"/>
    <w:unhideWhenUsed/>
    <w:rsid w:val="00A018D8"/>
    <w:pPr>
      <w:ind w:left="1200" w:hanging="200"/>
    </w:pPr>
  </w:style>
  <w:style w:type="paragraph" w:styleId="Index7">
    <w:name w:val="index 7"/>
    <w:basedOn w:val="Normal"/>
    <w:next w:val="Normal"/>
    <w:autoRedefine/>
    <w:uiPriority w:val="99"/>
    <w:unhideWhenUsed/>
    <w:rsid w:val="00A018D8"/>
    <w:pPr>
      <w:ind w:left="1400" w:hanging="200"/>
    </w:pPr>
  </w:style>
  <w:style w:type="paragraph" w:styleId="Index8">
    <w:name w:val="index 8"/>
    <w:basedOn w:val="Normal"/>
    <w:next w:val="Normal"/>
    <w:autoRedefine/>
    <w:uiPriority w:val="99"/>
    <w:unhideWhenUsed/>
    <w:rsid w:val="00A018D8"/>
    <w:pPr>
      <w:ind w:left="1600" w:hanging="200"/>
    </w:pPr>
  </w:style>
  <w:style w:type="paragraph" w:styleId="Index9">
    <w:name w:val="index 9"/>
    <w:basedOn w:val="Normal"/>
    <w:next w:val="Normal"/>
    <w:autoRedefine/>
    <w:uiPriority w:val="99"/>
    <w:unhideWhenUsed/>
    <w:rsid w:val="00A018D8"/>
    <w:pPr>
      <w:ind w:left="1800" w:hanging="200"/>
    </w:pPr>
  </w:style>
  <w:style w:type="paragraph" w:styleId="IndexHeading">
    <w:name w:val="index heading"/>
    <w:basedOn w:val="Normal"/>
    <w:next w:val="Index1"/>
    <w:uiPriority w:val="99"/>
    <w:unhideWhenUsed/>
    <w:rsid w:val="00A018D8"/>
  </w:style>
  <w:style w:type="table" w:customStyle="1" w:styleId="Rutenettabell5mrk1">
    <w:name w:val="Rutenettabell 5 mørk1"/>
    <w:basedOn w:val="TableNormal"/>
    <w:uiPriority w:val="50"/>
    <w:rsid w:val="00226C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Grunnleggendeavsnitt">
    <w:name w:val="[Grunnleggende avsnitt]"/>
    <w:basedOn w:val="Normal"/>
    <w:uiPriority w:val="99"/>
    <w:rsid w:val="004429DB"/>
    <w:pPr>
      <w:widowControl w:val="0"/>
      <w:autoSpaceDE w:val="0"/>
      <w:autoSpaceDN w:val="0"/>
      <w:adjustRightInd w:val="0"/>
      <w:spacing w:after="0" w:line="288" w:lineRule="auto"/>
      <w:jc w:val="left"/>
      <w:textAlignment w:val="center"/>
    </w:pPr>
    <w:rPr>
      <w:rFonts w:ascii="MinionPro-Regular" w:eastAsiaTheme="minorEastAsia" w:hAnsi="MinionPro-Regular" w:cs="MinionPro-Regular"/>
      <w:color w:val="000000"/>
      <w:sz w:val="24"/>
      <w:szCs w:val="24"/>
      <w:lang w:eastAsia="nb-NO"/>
    </w:rPr>
  </w:style>
  <w:style w:type="character" w:customStyle="1" w:styleId="ListParagraphChar">
    <w:name w:val="List Paragraph Char"/>
    <w:aliases w:val="footer Char,Bullet Styles para Char,Numbered Para 1 Char,Dot pt Char,No Spacing1 Char,List Paragraph Char Char Char Char,Indicator Text Char,List Paragraph1 Char,Bullet Points Char,MAIN CONTENT Char,List Paragraph12 Char"/>
    <w:basedOn w:val="DefaultParagraphFont"/>
    <w:link w:val="ListParagraph"/>
    <w:uiPriority w:val="34"/>
    <w:locked/>
    <w:rsid w:val="005062CB"/>
    <w:rPr>
      <w:sz w:val="20"/>
    </w:rPr>
  </w:style>
  <w:style w:type="table" w:styleId="ListTable3-Accent1">
    <w:name w:val="List Table 3 Accent 1"/>
    <w:basedOn w:val="TableNormal"/>
    <w:uiPriority w:val="48"/>
    <w:rsid w:val="005062CB"/>
    <w:pPr>
      <w:spacing w:after="0" w:line="240" w:lineRule="auto"/>
    </w:pPr>
    <w:tblPr>
      <w:tblStyleRowBandSize w:val="1"/>
      <w:tblStyleColBandSize w:val="1"/>
      <w:tblBorders>
        <w:top w:val="single" w:sz="4" w:space="0" w:color="395775" w:themeColor="accent1"/>
        <w:left w:val="single" w:sz="4" w:space="0" w:color="395775" w:themeColor="accent1"/>
        <w:bottom w:val="single" w:sz="4" w:space="0" w:color="395775" w:themeColor="accent1"/>
        <w:right w:val="single" w:sz="4" w:space="0" w:color="395775" w:themeColor="accent1"/>
      </w:tblBorders>
    </w:tblPr>
    <w:tblStylePr w:type="firstRow">
      <w:rPr>
        <w:b/>
        <w:bCs/>
        <w:color w:val="FFFFFF" w:themeColor="background1"/>
      </w:rPr>
      <w:tblPr/>
      <w:tcPr>
        <w:shd w:val="clear" w:color="auto" w:fill="395775" w:themeFill="accent1"/>
      </w:tcPr>
    </w:tblStylePr>
    <w:tblStylePr w:type="lastRow">
      <w:rPr>
        <w:b/>
        <w:bCs/>
      </w:rPr>
      <w:tblPr/>
      <w:tcPr>
        <w:tcBorders>
          <w:top w:val="double" w:sz="4" w:space="0" w:color="3957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95775" w:themeColor="accent1"/>
          <w:right w:val="single" w:sz="4" w:space="0" w:color="395775" w:themeColor="accent1"/>
        </w:tcBorders>
      </w:tcPr>
    </w:tblStylePr>
    <w:tblStylePr w:type="band1Horz">
      <w:tblPr/>
      <w:tcPr>
        <w:tcBorders>
          <w:top w:val="single" w:sz="4" w:space="0" w:color="395775" w:themeColor="accent1"/>
          <w:bottom w:val="single" w:sz="4" w:space="0" w:color="3957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95775" w:themeColor="accent1"/>
          <w:left w:val="nil"/>
        </w:tcBorders>
      </w:tcPr>
    </w:tblStylePr>
    <w:tblStylePr w:type="swCell">
      <w:tblPr/>
      <w:tcPr>
        <w:tcBorders>
          <w:top w:val="double" w:sz="4" w:space="0" w:color="395775" w:themeColor="accent1"/>
          <w:right w:val="nil"/>
        </w:tcBorders>
      </w:tcPr>
    </w:tblStylePr>
  </w:style>
  <w:style w:type="table" w:styleId="GridTable4-Accent1">
    <w:name w:val="Grid Table 4 Accent 1"/>
    <w:basedOn w:val="TableNormal"/>
    <w:uiPriority w:val="49"/>
    <w:rsid w:val="005062CB"/>
    <w:pPr>
      <w:spacing w:after="0" w:line="240" w:lineRule="auto"/>
    </w:pPr>
    <w:tblPr>
      <w:tblStyleRowBandSize w:val="1"/>
      <w:tblStyleColBandSize w:val="1"/>
      <w:tblBorders>
        <w:top w:val="single" w:sz="4" w:space="0" w:color="779ABD" w:themeColor="accent1" w:themeTint="99"/>
        <w:left w:val="single" w:sz="4" w:space="0" w:color="779ABD" w:themeColor="accent1" w:themeTint="99"/>
        <w:bottom w:val="single" w:sz="4" w:space="0" w:color="779ABD" w:themeColor="accent1" w:themeTint="99"/>
        <w:right w:val="single" w:sz="4" w:space="0" w:color="779ABD" w:themeColor="accent1" w:themeTint="99"/>
        <w:insideH w:val="single" w:sz="4" w:space="0" w:color="779ABD" w:themeColor="accent1" w:themeTint="99"/>
        <w:insideV w:val="single" w:sz="4" w:space="0" w:color="779ABD" w:themeColor="accent1" w:themeTint="99"/>
      </w:tblBorders>
    </w:tblPr>
    <w:tblStylePr w:type="firstRow">
      <w:rPr>
        <w:b/>
        <w:bCs/>
        <w:color w:val="FFFFFF" w:themeColor="background1"/>
      </w:rPr>
      <w:tblPr/>
      <w:tcPr>
        <w:tcBorders>
          <w:top w:val="single" w:sz="4" w:space="0" w:color="395775" w:themeColor="accent1"/>
          <w:left w:val="single" w:sz="4" w:space="0" w:color="395775" w:themeColor="accent1"/>
          <w:bottom w:val="single" w:sz="4" w:space="0" w:color="395775" w:themeColor="accent1"/>
          <w:right w:val="single" w:sz="4" w:space="0" w:color="395775" w:themeColor="accent1"/>
          <w:insideH w:val="nil"/>
          <w:insideV w:val="nil"/>
        </w:tcBorders>
        <w:shd w:val="clear" w:color="auto" w:fill="395775" w:themeFill="accent1"/>
      </w:tcPr>
    </w:tblStylePr>
    <w:tblStylePr w:type="lastRow">
      <w:rPr>
        <w:b/>
        <w:bCs/>
      </w:rPr>
      <w:tblPr/>
      <w:tcPr>
        <w:tcBorders>
          <w:top w:val="double" w:sz="4" w:space="0" w:color="395775" w:themeColor="accent1"/>
        </w:tcBorders>
      </w:tcPr>
    </w:tblStylePr>
    <w:tblStylePr w:type="firstCol">
      <w:rPr>
        <w:b/>
        <w:bCs/>
      </w:rPr>
    </w:tblStylePr>
    <w:tblStylePr w:type="lastCol">
      <w:rPr>
        <w:b/>
        <w:bCs/>
      </w:rPr>
    </w:tblStylePr>
    <w:tblStylePr w:type="band1Vert">
      <w:tblPr/>
      <w:tcPr>
        <w:shd w:val="clear" w:color="auto" w:fill="D1DDE9" w:themeFill="accent1" w:themeFillTint="33"/>
      </w:tcPr>
    </w:tblStylePr>
    <w:tblStylePr w:type="band1Horz">
      <w:tblPr/>
      <w:tcPr>
        <w:shd w:val="clear" w:color="auto" w:fill="D1DDE9" w:themeFill="accent1" w:themeFillTint="33"/>
      </w:tcPr>
    </w:tblStylePr>
  </w:style>
  <w:style w:type="paragraph" w:styleId="BodyText">
    <w:name w:val="Body Text"/>
    <w:aliases w:val="DNV-Body Char,Body Text Char1 Char,DNV-Body Char1 Char,Eko2-Body Char1 Char,omae Text Char1 Char,body text Char Char,DNV-Body1 Char Char,DNV-Body2 Char Char,DNV-Body3 Char Char,DNV-Body11 Char Char,Eko2-Body1 Char Char,DNV-Body,DN,DNV-Body1"/>
    <w:basedOn w:val="Normal"/>
    <w:link w:val="BodyTextChar"/>
    <w:unhideWhenUsed/>
    <w:qFormat/>
    <w:rsid w:val="000B4543"/>
    <w:pPr>
      <w:spacing w:after="120"/>
    </w:pPr>
  </w:style>
  <w:style w:type="character" w:customStyle="1" w:styleId="BodyTextChar">
    <w:name w:val="Body Text Char"/>
    <w:aliases w:val="DNV-Body Char Char,Body Text Char1 Char Char,DNV-Body Char1 Char Char,Eko2-Body Char1 Char Char,omae Text Char1 Char Char,body text Char Char Char,DNV-Body1 Char Char Char,DNV-Body2 Char Char Char,DNV-Body3 Char Char Char,DNV-Body Char1"/>
    <w:basedOn w:val="DefaultParagraphFont"/>
    <w:link w:val="BodyText"/>
    <w:rsid w:val="000B4543"/>
    <w:rPr>
      <w:sz w:val="20"/>
    </w:rPr>
  </w:style>
  <w:style w:type="table" w:customStyle="1" w:styleId="TableGrid1">
    <w:name w:val="Table Grid1"/>
    <w:basedOn w:val="TableNormal"/>
    <w:next w:val="TableGrid"/>
    <w:uiPriority w:val="39"/>
    <w:rsid w:val="0033682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76E44"/>
    <w:rPr>
      <w:color w:val="605E5C"/>
      <w:shd w:val="clear" w:color="auto" w:fill="E1DFDD"/>
    </w:rPr>
  </w:style>
  <w:style w:type="character" w:customStyle="1" w:styleId="Heading7Char">
    <w:name w:val="Heading 7 Char"/>
    <w:basedOn w:val="DefaultParagraphFont"/>
    <w:link w:val="Heading7"/>
    <w:uiPriority w:val="9"/>
    <w:semiHidden/>
    <w:rsid w:val="00963743"/>
    <w:rPr>
      <w:rFonts w:asciiTheme="majorHAnsi" w:eastAsiaTheme="majorEastAsia" w:hAnsiTheme="majorHAnsi" w:cstheme="majorBidi"/>
      <w:i/>
      <w:iCs/>
      <w:color w:val="1C2B3A" w:themeColor="accent1" w:themeShade="7F"/>
      <w:sz w:val="20"/>
    </w:rPr>
  </w:style>
  <w:style w:type="character" w:customStyle="1" w:styleId="Heading8Char">
    <w:name w:val="Heading 8 Char"/>
    <w:basedOn w:val="DefaultParagraphFont"/>
    <w:link w:val="Heading8"/>
    <w:uiPriority w:val="9"/>
    <w:semiHidden/>
    <w:rsid w:val="0096374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63743"/>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000EB7"/>
    <w:pPr>
      <w:spacing w:after="0" w:line="240" w:lineRule="auto"/>
    </w:pPr>
    <w:rPr>
      <w:sz w:val="20"/>
    </w:rPr>
  </w:style>
  <w:style w:type="character" w:customStyle="1" w:styleId="CaptionChar">
    <w:name w:val="Caption Char"/>
    <w:aliases w:val="JBV-tabell Char,DNV-cap Char,Bildetekst Tegn Tegn Tegn Char,Bildetekst Tegn Tegn Tegn Tegn Tegn Char,Bildetekst Tegn Tegn Tegn Tegn Char, Tegn Char,Tegn Char,Kuva- ja taulukkoteksti Char"/>
    <w:link w:val="Caption"/>
    <w:locked/>
    <w:rsid w:val="002E1F06"/>
    <w:rPr>
      <w:b/>
      <w:bCs/>
      <w:color w:val="395775" w:themeColor="accent1"/>
      <w:sz w:val="18"/>
      <w:szCs w:val="18"/>
    </w:rPr>
  </w:style>
  <w:style w:type="character" w:styleId="FollowedHyperlink">
    <w:name w:val="FollowedHyperlink"/>
    <w:basedOn w:val="DefaultParagraphFont"/>
    <w:uiPriority w:val="99"/>
    <w:semiHidden/>
    <w:unhideWhenUsed/>
    <w:rsid w:val="00F9670C"/>
    <w:rPr>
      <w:color w:val="75D5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4304">
      <w:bodyDiv w:val="1"/>
      <w:marLeft w:val="0"/>
      <w:marRight w:val="0"/>
      <w:marTop w:val="0"/>
      <w:marBottom w:val="0"/>
      <w:divBdr>
        <w:top w:val="none" w:sz="0" w:space="0" w:color="auto"/>
        <w:left w:val="none" w:sz="0" w:space="0" w:color="auto"/>
        <w:bottom w:val="none" w:sz="0" w:space="0" w:color="auto"/>
        <w:right w:val="none" w:sz="0" w:space="0" w:color="auto"/>
      </w:divBdr>
    </w:div>
    <w:div w:id="76680535">
      <w:bodyDiv w:val="1"/>
      <w:marLeft w:val="0"/>
      <w:marRight w:val="0"/>
      <w:marTop w:val="0"/>
      <w:marBottom w:val="0"/>
      <w:divBdr>
        <w:top w:val="none" w:sz="0" w:space="0" w:color="auto"/>
        <w:left w:val="none" w:sz="0" w:space="0" w:color="auto"/>
        <w:bottom w:val="none" w:sz="0" w:space="0" w:color="auto"/>
        <w:right w:val="none" w:sz="0" w:space="0" w:color="auto"/>
      </w:divBdr>
    </w:div>
    <w:div w:id="76707343">
      <w:bodyDiv w:val="1"/>
      <w:marLeft w:val="0"/>
      <w:marRight w:val="0"/>
      <w:marTop w:val="0"/>
      <w:marBottom w:val="0"/>
      <w:divBdr>
        <w:top w:val="none" w:sz="0" w:space="0" w:color="auto"/>
        <w:left w:val="none" w:sz="0" w:space="0" w:color="auto"/>
        <w:bottom w:val="none" w:sz="0" w:space="0" w:color="auto"/>
        <w:right w:val="none" w:sz="0" w:space="0" w:color="auto"/>
      </w:divBdr>
    </w:div>
    <w:div w:id="106969006">
      <w:bodyDiv w:val="1"/>
      <w:marLeft w:val="0"/>
      <w:marRight w:val="0"/>
      <w:marTop w:val="0"/>
      <w:marBottom w:val="0"/>
      <w:divBdr>
        <w:top w:val="none" w:sz="0" w:space="0" w:color="auto"/>
        <w:left w:val="none" w:sz="0" w:space="0" w:color="auto"/>
        <w:bottom w:val="none" w:sz="0" w:space="0" w:color="auto"/>
        <w:right w:val="none" w:sz="0" w:space="0" w:color="auto"/>
      </w:divBdr>
    </w:div>
    <w:div w:id="124780637">
      <w:bodyDiv w:val="1"/>
      <w:marLeft w:val="0"/>
      <w:marRight w:val="0"/>
      <w:marTop w:val="0"/>
      <w:marBottom w:val="0"/>
      <w:divBdr>
        <w:top w:val="none" w:sz="0" w:space="0" w:color="auto"/>
        <w:left w:val="none" w:sz="0" w:space="0" w:color="auto"/>
        <w:bottom w:val="none" w:sz="0" w:space="0" w:color="auto"/>
        <w:right w:val="none" w:sz="0" w:space="0" w:color="auto"/>
      </w:divBdr>
    </w:div>
    <w:div w:id="152182643">
      <w:bodyDiv w:val="1"/>
      <w:marLeft w:val="0"/>
      <w:marRight w:val="0"/>
      <w:marTop w:val="0"/>
      <w:marBottom w:val="0"/>
      <w:divBdr>
        <w:top w:val="none" w:sz="0" w:space="0" w:color="auto"/>
        <w:left w:val="none" w:sz="0" w:space="0" w:color="auto"/>
        <w:bottom w:val="none" w:sz="0" w:space="0" w:color="auto"/>
        <w:right w:val="none" w:sz="0" w:space="0" w:color="auto"/>
      </w:divBdr>
    </w:div>
    <w:div w:id="154228226">
      <w:bodyDiv w:val="1"/>
      <w:marLeft w:val="0"/>
      <w:marRight w:val="0"/>
      <w:marTop w:val="0"/>
      <w:marBottom w:val="0"/>
      <w:divBdr>
        <w:top w:val="none" w:sz="0" w:space="0" w:color="auto"/>
        <w:left w:val="none" w:sz="0" w:space="0" w:color="auto"/>
        <w:bottom w:val="none" w:sz="0" w:space="0" w:color="auto"/>
        <w:right w:val="none" w:sz="0" w:space="0" w:color="auto"/>
      </w:divBdr>
    </w:div>
    <w:div w:id="169832185">
      <w:bodyDiv w:val="1"/>
      <w:marLeft w:val="0"/>
      <w:marRight w:val="0"/>
      <w:marTop w:val="0"/>
      <w:marBottom w:val="0"/>
      <w:divBdr>
        <w:top w:val="none" w:sz="0" w:space="0" w:color="auto"/>
        <w:left w:val="none" w:sz="0" w:space="0" w:color="auto"/>
        <w:bottom w:val="none" w:sz="0" w:space="0" w:color="auto"/>
        <w:right w:val="none" w:sz="0" w:space="0" w:color="auto"/>
      </w:divBdr>
    </w:div>
    <w:div w:id="204215440">
      <w:bodyDiv w:val="1"/>
      <w:marLeft w:val="0"/>
      <w:marRight w:val="0"/>
      <w:marTop w:val="0"/>
      <w:marBottom w:val="0"/>
      <w:divBdr>
        <w:top w:val="none" w:sz="0" w:space="0" w:color="auto"/>
        <w:left w:val="none" w:sz="0" w:space="0" w:color="auto"/>
        <w:bottom w:val="none" w:sz="0" w:space="0" w:color="auto"/>
        <w:right w:val="none" w:sz="0" w:space="0" w:color="auto"/>
      </w:divBdr>
    </w:div>
    <w:div w:id="207840205">
      <w:bodyDiv w:val="1"/>
      <w:marLeft w:val="0"/>
      <w:marRight w:val="0"/>
      <w:marTop w:val="0"/>
      <w:marBottom w:val="0"/>
      <w:divBdr>
        <w:top w:val="none" w:sz="0" w:space="0" w:color="auto"/>
        <w:left w:val="none" w:sz="0" w:space="0" w:color="auto"/>
        <w:bottom w:val="none" w:sz="0" w:space="0" w:color="auto"/>
        <w:right w:val="none" w:sz="0" w:space="0" w:color="auto"/>
      </w:divBdr>
    </w:div>
    <w:div w:id="248471588">
      <w:bodyDiv w:val="1"/>
      <w:marLeft w:val="0"/>
      <w:marRight w:val="0"/>
      <w:marTop w:val="0"/>
      <w:marBottom w:val="0"/>
      <w:divBdr>
        <w:top w:val="none" w:sz="0" w:space="0" w:color="auto"/>
        <w:left w:val="none" w:sz="0" w:space="0" w:color="auto"/>
        <w:bottom w:val="none" w:sz="0" w:space="0" w:color="auto"/>
        <w:right w:val="none" w:sz="0" w:space="0" w:color="auto"/>
      </w:divBdr>
    </w:div>
    <w:div w:id="253056818">
      <w:bodyDiv w:val="1"/>
      <w:marLeft w:val="0"/>
      <w:marRight w:val="0"/>
      <w:marTop w:val="0"/>
      <w:marBottom w:val="0"/>
      <w:divBdr>
        <w:top w:val="none" w:sz="0" w:space="0" w:color="auto"/>
        <w:left w:val="none" w:sz="0" w:space="0" w:color="auto"/>
        <w:bottom w:val="none" w:sz="0" w:space="0" w:color="auto"/>
        <w:right w:val="none" w:sz="0" w:space="0" w:color="auto"/>
      </w:divBdr>
    </w:div>
    <w:div w:id="282348197">
      <w:bodyDiv w:val="1"/>
      <w:marLeft w:val="0"/>
      <w:marRight w:val="0"/>
      <w:marTop w:val="0"/>
      <w:marBottom w:val="0"/>
      <w:divBdr>
        <w:top w:val="none" w:sz="0" w:space="0" w:color="auto"/>
        <w:left w:val="none" w:sz="0" w:space="0" w:color="auto"/>
        <w:bottom w:val="none" w:sz="0" w:space="0" w:color="auto"/>
        <w:right w:val="none" w:sz="0" w:space="0" w:color="auto"/>
      </w:divBdr>
    </w:div>
    <w:div w:id="293682995">
      <w:bodyDiv w:val="1"/>
      <w:marLeft w:val="0"/>
      <w:marRight w:val="0"/>
      <w:marTop w:val="0"/>
      <w:marBottom w:val="0"/>
      <w:divBdr>
        <w:top w:val="none" w:sz="0" w:space="0" w:color="auto"/>
        <w:left w:val="none" w:sz="0" w:space="0" w:color="auto"/>
        <w:bottom w:val="none" w:sz="0" w:space="0" w:color="auto"/>
        <w:right w:val="none" w:sz="0" w:space="0" w:color="auto"/>
      </w:divBdr>
    </w:div>
    <w:div w:id="298150038">
      <w:bodyDiv w:val="1"/>
      <w:marLeft w:val="0"/>
      <w:marRight w:val="0"/>
      <w:marTop w:val="0"/>
      <w:marBottom w:val="0"/>
      <w:divBdr>
        <w:top w:val="none" w:sz="0" w:space="0" w:color="auto"/>
        <w:left w:val="none" w:sz="0" w:space="0" w:color="auto"/>
        <w:bottom w:val="none" w:sz="0" w:space="0" w:color="auto"/>
        <w:right w:val="none" w:sz="0" w:space="0" w:color="auto"/>
      </w:divBdr>
    </w:div>
    <w:div w:id="319122645">
      <w:bodyDiv w:val="1"/>
      <w:marLeft w:val="0"/>
      <w:marRight w:val="0"/>
      <w:marTop w:val="0"/>
      <w:marBottom w:val="0"/>
      <w:divBdr>
        <w:top w:val="none" w:sz="0" w:space="0" w:color="auto"/>
        <w:left w:val="none" w:sz="0" w:space="0" w:color="auto"/>
        <w:bottom w:val="none" w:sz="0" w:space="0" w:color="auto"/>
        <w:right w:val="none" w:sz="0" w:space="0" w:color="auto"/>
      </w:divBdr>
    </w:div>
    <w:div w:id="345791680">
      <w:bodyDiv w:val="1"/>
      <w:marLeft w:val="0"/>
      <w:marRight w:val="0"/>
      <w:marTop w:val="0"/>
      <w:marBottom w:val="0"/>
      <w:divBdr>
        <w:top w:val="none" w:sz="0" w:space="0" w:color="auto"/>
        <w:left w:val="none" w:sz="0" w:space="0" w:color="auto"/>
        <w:bottom w:val="none" w:sz="0" w:space="0" w:color="auto"/>
        <w:right w:val="none" w:sz="0" w:space="0" w:color="auto"/>
      </w:divBdr>
    </w:div>
    <w:div w:id="362554333">
      <w:bodyDiv w:val="1"/>
      <w:marLeft w:val="0"/>
      <w:marRight w:val="0"/>
      <w:marTop w:val="0"/>
      <w:marBottom w:val="0"/>
      <w:divBdr>
        <w:top w:val="none" w:sz="0" w:space="0" w:color="auto"/>
        <w:left w:val="none" w:sz="0" w:space="0" w:color="auto"/>
        <w:bottom w:val="none" w:sz="0" w:space="0" w:color="auto"/>
        <w:right w:val="none" w:sz="0" w:space="0" w:color="auto"/>
      </w:divBdr>
    </w:div>
    <w:div w:id="401370830">
      <w:bodyDiv w:val="1"/>
      <w:marLeft w:val="0"/>
      <w:marRight w:val="0"/>
      <w:marTop w:val="0"/>
      <w:marBottom w:val="0"/>
      <w:divBdr>
        <w:top w:val="none" w:sz="0" w:space="0" w:color="auto"/>
        <w:left w:val="none" w:sz="0" w:space="0" w:color="auto"/>
        <w:bottom w:val="none" w:sz="0" w:space="0" w:color="auto"/>
        <w:right w:val="none" w:sz="0" w:space="0" w:color="auto"/>
      </w:divBdr>
    </w:div>
    <w:div w:id="487676316">
      <w:bodyDiv w:val="1"/>
      <w:marLeft w:val="0"/>
      <w:marRight w:val="0"/>
      <w:marTop w:val="0"/>
      <w:marBottom w:val="0"/>
      <w:divBdr>
        <w:top w:val="none" w:sz="0" w:space="0" w:color="auto"/>
        <w:left w:val="none" w:sz="0" w:space="0" w:color="auto"/>
        <w:bottom w:val="none" w:sz="0" w:space="0" w:color="auto"/>
        <w:right w:val="none" w:sz="0" w:space="0" w:color="auto"/>
      </w:divBdr>
    </w:div>
    <w:div w:id="526136408">
      <w:bodyDiv w:val="1"/>
      <w:marLeft w:val="0"/>
      <w:marRight w:val="0"/>
      <w:marTop w:val="0"/>
      <w:marBottom w:val="0"/>
      <w:divBdr>
        <w:top w:val="none" w:sz="0" w:space="0" w:color="auto"/>
        <w:left w:val="none" w:sz="0" w:space="0" w:color="auto"/>
        <w:bottom w:val="none" w:sz="0" w:space="0" w:color="auto"/>
        <w:right w:val="none" w:sz="0" w:space="0" w:color="auto"/>
      </w:divBdr>
    </w:div>
    <w:div w:id="534392980">
      <w:bodyDiv w:val="1"/>
      <w:marLeft w:val="0"/>
      <w:marRight w:val="0"/>
      <w:marTop w:val="0"/>
      <w:marBottom w:val="0"/>
      <w:divBdr>
        <w:top w:val="none" w:sz="0" w:space="0" w:color="auto"/>
        <w:left w:val="none" w:sz="0" w:space="0" w:color="auto"/>
        <w:bottom w:val="none" w:sz="0" w:space="0" w:color="auto"/>
        <w:right w:val="none" w:sz="0" w:space="0" w:color="auto"/>
      </w:divBdr>
    </w:div>
    <w:div w:id="540286766">
      <w:bodyDiv w:val="1"/>
      <w:marLeft w:val="0"/>
      <w:marRight w:val="0"/>
      <w:marTop w:val="0"/>
      <w:marBottom w:val="0"/>
      <w:divBdr>
        <w:top w:val="none" w:sz="0" w:space="0" w:color="auto"/>
        <w:left w:val="none" w:sz="0" w:space="0" w:color="auto"/>
        <w:bottom w:val="none" w:sz="0" w:space="0" w:color="auto"/>
        <w:right w:val="none" w:sz="0" w:space="0" w:color="auto"/>
      </w:divBdr>
      <w:divsChild>
        <w:div w:id="280965142">
          <w:marLeft w:val="0"/>
          <w:marRight w:val="0"/>
          <w:marTop w:val="0"/>
          <w:marBottom w:val="0"/>
          <w:divBdr>
            <w:top w:val="none" w:sz="0" w:space="0" w:color="auto"/>
            <w:left w:val="none" w:sz="0" w:space="0" w:color="auto"/>
            <w:bottom w:val="none" w:sz="0" w:space="0" w:color="auto"/>
            <w:right w:val="none" w:sz="0" w:space="0" w:color="auto"/>
          </w:divBdr>
          <w:divsChild>
            <w:div w:id="1599946416">
              <w:marLeft w:val="0"/>
              <w:marRight w:val="0"/>
              <w:marTop w:val="0"/>
              <w:marBottom w:val="0"/>
              <w:divBdr>
                <w:top w:val="none" w:sz="0" w:space="0" w:color="auto"/>
                <w:left w:val="none" w:sz="0" w:space="0" w:color="auto"/>
                <w:bottom w:val="none" w:sz="0" w:space="0" w:color="auto"/>
                <w:right w:val="none" w:sz="0" w:space="0" w:color="auto"/>
              </w:divBdr>
              <w:divsChild>
                <w:div w:id="133091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4048371">
      <w:bodyDiv w:val="1"/>
      <w:marLeft w:val="0"/>
      <w:marRight w:val="0"/>
      <w:marTop w:val="0"/>
      <w:marBottom w:val="0"/>
      <w:divBdr>
        <w:top w:val="none" w:sz="0" w:space="0" w:color="auto"/>
        <w:left w:val="none" w:sz="0" w:space="0" w:color="auto"/>
        <w:bottom w:val="none" w:sz="0" w:space="0" w:color="auto"/>
        <w:right w:val="none" w:sz="0" w:space="0" w:color="auto"/>
      </w:divBdr>
    </w:div>
    <w:div w:id="664166701">
      <w:bodyDiv w:val="1"/>
      <w:marLeft w:val="0"/>
      <w:marRight w:val="0"/>
      <w:marTop w:val="0"/>
      <w:marBottom w:val="0"/>
      <w:divBdr>
        <w:top w:val="none" w:sz="0" w:space="0" w:color="auto"/>
        <w:left w:val="none" w:sz="0" w:space="0" w:color="auto"/>
        <w:bottom w:val="none" w:sz="0" w:space="0" w:color="auto"/>
        <w:right w:val="none" w:sz="0" w:space="0" w:color="auto"/>
      </w:divBdr>
    </w:div>
    <w:div w:id="748120872">
      <w:bodyDiv w:val="1"/>
      <w:marLeft w:val="0"/>
      <w:marRight w:val="0"/>
      <w:marTop w:val="0"/>
      <w:marBottom w:val="0"/>
      <w:divBdr>
        <w:top w:val="none" w:sz="0" w:space="0" w:color="auto"/>
        <w:left w:val="none" w:sz="0" w:space="0" w:color="auto"/>
        <w:bottom w:val="none" w:sz="0" w:space="0" w:color="auto"/>
        <w:right w:val="none" w:sz="0" w:space="0" w:color="auto"/>
      </w:divBdr>
    </w:div>
    <w:div w:id="773011717">
      <w:bodyDiv w:val="1"/>
      <w:marLeft w:val="0"/>
      <w:marRight w:val="0"/>
      <w:marTop w:val="0"/>
      <w:marBottom w:val="0"/>
      <w:divBdr>
        <w:top w:val="none" w:sz="0" w:space="0" w:color="auto"/>
        <w:left w:val="none" w:sz="0" w:space="0" w:color="auto"/>
        <w:bottom w:val="none" w:sz="0" w:space="0" w:color="auto"/>
        <w:right w:val="none" w:sz="0" w:space="0" w:color="auto"/>
      </w:divBdr>
    </w:div>
    <w:div w:id="784883277">
      <w:bodyDiv w:val="1"/>
      <w:marLeft w:val="0"/>
      <w:marRight w:val="0"/>
      <w:marTop w:val="0"/>
      <w:marBottom w:val="0"/>
      <w:divBdr>
        <w:top w:val="none" w:sz="0" w:space="0" w:color="auto"/>
        <w:left w:val="none" w:sz="0" w:space="0" w:color="auto"/>
        <w:bottom w:val="none" w:sz="0" w:space="0" w:color="auto"/>
        <w:right w:val="none" w:sz="0" w:space="0" w:color="auto"/>
      </w:divBdr>
    </w:div>
    <w:div w:id="846864882">
      <w:bodyDiv w:val="1"/>
      <w:marLeft w:val="0"/>
      <w:marRight w:val="0"/>
      <w:marTop w:val="0"/>
      <w:marBottom w:val="0"/>
      <w:divBdr>
        <w:top w:val="none" w:sz="0" w:space="0" w:color="auto"/>
        <w:left w:val="none" w:sz="0" w:space="0" w:color="auto"/>
        <w:bottom w:val="none" w:sz="0" w:space="0" w:color="auto"/>
        <w:right w:val="none" w:sz="0" w:space="0" w:color="auto"/>
      </w:divBdr>
    </w:div>
    <w:div w:id="874392680">
      <w:bodyDiv w:val="1"/>
      <w:marLeft w:val="0"/>
      <w:marRight w:val="0"/>
      <w:marTop w:val="0"/>
      <w:marBottom w:val="0"/>
      <w:divBdr>
        <w:top w:val="none" w:sz="0" w:space="0" w:color="auto"/>
        <w:left w:val="none" w:sz="0" w:space="0" w:color="auto"/>
        <w:bottom w:val="none" w:sz="0" w:space="0" w:color="auto"/>
        <w:right w:val="none" w:sz="0" w:space="0" w:color="auto"/>
      </w:divBdr>
    </w:div>
    <w:div w:id="930969636">
      <w:bodyDiv w:val="1"/>
      <w:marLeft w:val="0"/>
      <w:marRight w:val="0"/>
      <w:marTop w:val="0"/>
      <w:marBottom w:val="0"/>
      <w:divBdr>
        <w:top w:val="none" w:sz="0" w:space="0" w:color="auto"/>
        <w:left w:val="none" w:sz="0" w:space="0" w:color="auto"/>
        <w:bottom w:val="none" w:sz="0" w:space="0" w:color="auto"/>
        <w:right w:val="none" w:sz="0" w:space="0" w:color="auto"/>
      </w:divBdr>
    </w:div>
    <w:div w:id="984428145">
      <w:bodyDiv w:val="1"/>
      <w:marLeft w:val="0"/>
      <w:marRight w:val="0"/>
      <w:marTop w:val="0"/>
      <w:marBottom w:val="0"/>
      <w:divBdr>
        <w:top w:val="none" w:sz="0" w:space="0" w:color="auto"/>
        <w:left w:val="none" w:sz="0" w:space="0" w:color="auto"/>
        <w:bottom w:val="none" w:sz="0" w:space="0" w:color="auto"/>
        <w:right w:val="none" w:sz="0" w:space="0" w:color="auto"/>
      </w:divBdr>
    </w:div>
    <w:div w:id="988048535">
      <w:bodyDiv w:val="1"/>
      <w:marLeft w:val="0"/>
      <w:marRight w:val="0"/>
      <w:marTop w:val="0"/>
      <w:marBottom w:val="0"/>
      <w:divBdr>
        <w:top w:val="none" w:sz="0" w:space="0" w:color="auto"/>
        <w:left w:val="none" w:sz="0" w:space="0" w:color="auto"/>
        <w:bottom w:val="none" w:sz="0" w:space="0" w:color="auto"/>
        <w:right w:val="none" w:sz="0" w:space="0" w:color="auto"/>
      </w:divBdr>
    </w:div>
    <w:div w:id="998968251">
      <w:bodyDiv w:val="1"/>
      <w:marLeft w:val="0"/>
      <w:marRight w:val="0"/>
      <w:marTop w:val="0"/>
      <w:marBottom w:val="0"/>
      <w:divBdr>
        <w:top w:val="none" w:sz="0" w:space="0" w:color="auto"/>
        <w:left w:val="none" w:sz="0" w:space="0" w:color="auto"/>
        <w:bottom w:val="none" w:sz="0" w:space="0" w:color="auto"/>
        <w:right w:val="none" w:sz="0" w:space="0" w:color="auto"/>
      </w:divBdr>
    </w:div>
    <w:div w:id="1007439973">
      <w:bodyDiv w:val="1"/>
      <w:marLeft w:val="0"/>
      <w:marRight w:val="0"/>
      <w:marTop w:val="0"/>
      <w:marBottom w:val="0"/>
      <w:divBdr>
        <w:top w:val="none" w:sz="0" w:space="0" w:color="auto"/>
        <w:left w:val="none" w:sz="0" w:space="0" w:color="auto"/>
        <w:bottom w:val="none" w:sz="0" w:space="0" w:color="auto"/>
        <w:right w:val="none" w:sz="0" w:space="0" w:color="auto"/>
      </w:divBdr>
    </w:div>
    <w:div w:id="1022130538">
      <w:bodyDiv w:val="1"/>
      <w:marLeft w:val="0"/>
      <w:marRight w:val="0"/>
      <w:marTop w:val="0"/>
      <w:marBottom w:val="0"/>
      <w:divBdr>
        <w:top w:val="none" w:sz="0" w:space="0" w:color="auto"/>
        <w:left w:val="none" w:sz="0" w:space="0" w:color="auto"/>
        <w:bottom w:val="none" w:sz="0" w:space="0" w:color="auto"/>
        <w:right w:val="none" w:sz="0" w:space="0" w:color="auto"/>
      </w:divBdr>
    </w:div>
    <w:div w:id="1060667308">
      <w:bodyDiv w:val="1"/>
      <w:marLeft w:val="0"/>
      <w:marRight w:val="0"/>
      <w:marTop w:val="0"/>
      <w:marBottom w:val="0"/>
      <w:divBdr>
        <w:top w:val="none" w:sz="0" w:space="0" w:color="auto"/>
        <w:left w:val="none" w:sz="0" w:space="0" w:color="auto"/>
        <w:bottom w:val="none" w:sz="0" w:space="0" w:color="auto"/>
        <w:right w:val="none" w:sz="0" w:space="0" w:color="auto"/>
      </w:divBdr>
    </w:div>
    <w:div w:id="1082067519">
      <w:bodyDiv w:val="1"/>
      <w:marLeft w:val="0"/>
      <w:marRight w:val="0"/>
      <w:marTop w:val="0"/>
      <w:marBottom w:val="0"/>
      <w:divBdr>
        <w:top w:val="none" w:sz="0" w:space="0" w:color="auto"/>
        <w:left w:val="none" w:sz="0" w:space="0" w:color="auto"/>
        <w:bottom w:val="none" w:sz="0" w:space="0" w:color="auto"/>
        <w:right w:val="none" w:sz="0" w:space="0" w:color="auto"/>
      </w:divBdr>
    </w:div>
    <w:div w:id="1106969482">
      <w:bodyDiv w:val="1"/>
      <w:marLeft w:val="0"/>
      <w:marRight w:val="0"/>
      <w:marTop w:val="0"/>
      <w:marBottom w:val="0"/>
      <w:divBdr>
        <w:top w:val="none" w:sz="0" w:space="0" w:color="auto"/>
        <w:left w:val="none" w:sz="0" w:space="0" w:color="auto"/>
        <w:bottom w:val="none" w:sz="0" w:space="0" w:color="auto"/>
        <w:right w:val="none" w:sz="0" w:space="0" w:color="auto"/>
      </w:divBdr>
    </w:div>
    <w:div w:id="1196699841">
      <w:bodyDiv w:val="1"/>
      <w:marLeft w:val="0"/>
      <w:marRight w:val="0"/>
      <w:marTop w:val="0"/>
      <w:marBottom w:val="0"/>
      <w:divBdr>
        <w:top w:val="none" w:sz="0" w:space="0" w:color="auto"/>
        <w:left w:val="none" w:sz="0" w:space="0" w:color="auto"/>
        <w:bottom w:val="none" w:sz="0" w:space="0" w:color="auto"/>
        <w:right w:val="none" w:sz="0" w:space="0" w:color="auto"/>
      </w:divBdr>
    </w:div>
    <w:div w:id="1231960856">
      <w:bodyDiv w:val="1"/>
      <w:marLeft w:val="0"/>
      <w:marRight w:val="0"/>
      <w:marTop w:val="0"/>
      <w:marBottom w:val="0"/>
      <w:divBdr>
        <w:top w:val="none" w:sz="0" w:space="0" w:color="auto"/>
        <w:left w:val="none" w:sz="0" w:space="0" w:color="auto"/>
        <w:bottom w:val="none" w:sz="0" w:space="0" w:color="auto"/>
        <w:right w:val="none" w:sz="0" w:space="0" w:color="auto"/>
      </w:divBdr>
    </w:div>
    <w:div w:id="1234386527">
      <w:bodyDiv w:val="1"/>
      <w:marLeft w:val="0"/>
      <w:marRight w:val="0"/>
      <w:marTop w:val="0"/>
      <w:marBottom w:val="0"/>
      <w:divBdr>
        <w:top w:val="none" w:sz="0" w:space="0" w:color="auto"/>
        <w:left w:val="none" w:sz="0" w:space="0" w:color="auto"/>
        <w:bottom w:val="none" w:sz="0" w:space="0" w:color="auto"/>
        <w:right w:val="none" w:sz="0" w:space="0" w:color="auto"/>
      </w:divBdr>
    </w:div>
    <w:div w:id="1255161900">
      <w:bodyDiv w:val="1"/>
      <w:marLeft w:val="0"/>
      <w:marRight w:val="0"/>
      <w:marTop w:val="0"/>
      <w:marBottom w:val="0"/>
      <w:divBdr>
        <w:top w:val="none" w:sz="0" w:space="0" w:color="auto"/>
        <w:left w:val="none" w:sz="0" w:space="0" w:color="auto"/>
        <w:bottom w:val="none" w:sz="0" w:space="0" w:color="auto"/>
        <w:right w:val="none" w:sz="0" w:space="0" w:color="auto"/>
      </w:divBdr>
    </w:div>
    <w:div w:id="1289625006">
      <w:bodyDiv w:val="1"/>
      <w:marLeft w:val="0"/>
      <w:marRight w:val="0"/>
      <w:marTop w:val="0"/>
      <w:marBottom w:val="0"/>
      <w:divBdr>
        <w:top w:val="none" w:sz="0" w:space="0" w:color="auto"/>
        <w:left w:val="none" w:sz="0" w:space="0" w:color="auto"/>
        <w:bottom w:val="none" w:sz="0" w:space="0" w:color="auto"/>
        <w:right w:val="none" w:sz="0" w:space="0" w:color="auto"/>
      </w:divBdr>
    </w:div>
    <w:div w:id="1342049512">
      <w:bodyDiv w:val="1"/>
      <w:marLeft w:val="0"/>
      <w:marRight w:val="0"/>
      <w:marTop w:val="0"/>
      <w:marBottom w:val="0"/>
      <w:divBdr>
        <w:top w:val="none" w:sz="0" w:space="0" w:color="auto"/>
        <w:left w:val="none" w:sz="0" w:space="0" w:color="auto"/>
        <w:bottom w:val="none" w:sz="0" w:space="0" w:color="auto"/>
        <w:right w:val="none" w:sz="0" w:space="0" w:color="auto"/>
      </w:divBdr>
    </w:div>
    <w:div w:id="1415009137">
      <w:bodyDiv w:val="1"/>
      <w:marLeft w:val="0"/>
      <w:marRight w:val="0"/>
      <w:marTop w:val="0"/>
      <w:marBottom w:val="0"/>
      <w:divBdr>
        <w:top w:val="none" w:sz="0" w:space="0" w:color="auto"/>
        <w:left w:val="none" w:sz="0" w:space="0" w:color="auto"/>
        <w:bottom w:val="none" w:sz="0" w:space="0" w:color="auto"/>
        <w:right w:val="none" w:sz="0" w:space="0" w:color="auto"/>
      </w:divBdr>
    </w:div>
    <w:div w:id="1457480940">
      <w:bodyDiv w:val="1"/>
      <w:marLeft w:val="0"/>
      <w:marRight w:val="0"/>
      <w:marTop w:val="0"/>
      <w:marBottom w:val="0"/>
      <w:divBdr>
        <w:top w:val="none" w:sz="0" w:space="0" w:color="auto"/>
        <w:left w:val="none" w:sz="0" w:space="0" w:color="auto"/>
        <w:bottom w:val="none" w:sz="0" w:space="0" w:color="auto"/>
        <w:right w:val="none" w:sz="0" w:space="0" w:color="auto"/>
      </w:divBdr>
    </w:div>
    <w:div w:id="1471630077">
      <w:bodyDiv w:val="1"/>
      <w:marLeft w:val="0"/>
      <w:marRight w:val="0"/>
      <w:marTop w:val="0"/>
      <w:marBottom w:val="0"/>
      <w:divBdr>
        <w:top w:val="none" w:sz="0" w:space="0" w:color="auto"/>
        <w:left w:val="none" w:sz="0" w:space="0" w:color="auto"/>
        <w:bottom w:val="none" w:sz="0" w:space="0" w:color="auto"/>
        <w:right w:val="none" w:sz="0" w:space="0" w:color="auto"/>
      </w:divBdr>
    </w:div>
    <w:div w:id="1476139673">
      <w:bodyDiv w:val="1"/>
      <w:marLeft w:val="0"/>
      <w:marRight w:val="0"/>
      <w:marTop w:val="0"/>
      <w:marBottom w:val="0"/>
      <w:divBdr>
        <w:top w:val="none" w:sz="0" w:space="0" w:color="auto"/>
        <w:left w:val="none" w:sz="0" w:space="0" w:color="auto"/>
        <w:bottom w:val="none" w:sz="0" w:space="0" w:color="auto"/>
        <w:right w:val="none" w:sz="0" w:space="0" w:color="auto"/>
      </w:divBdr>
    </w:div>
    <w:div w:id="1484391814">
      <w:bodyDiv w:val="1"/>
      <w:marLeft w:val="0"/>
      <w:marRight w:val="0"/>
      <w:marTop w:val="0"/>
      <w:marBottom w:val="0"/>
      <w:divBdr>
        <w:top w:val="none" w:sz="0" w:space="0" w:color="auto"/>
        <w:left w:val="none" w:sz="0" w:space="0" w:color="auto"/>
        <w:bottom w:val="none" w:sz="0" w:space="0" w:color="auto"/>
        <w:right w:val="none" w:sz="0" w:space="0" w:color="auto"/>
      </w:divBdr>
    </w:div>
    <w:div w:id="1492479781">
      <w:bodyDiv w:val="1"/>
      <w:marLeft w:val="0"/>
      <w:marRight w:val="0"/>
      <w:marTop w:val="0"/>
      <w:marBottom w:val="0"/>
      <w:divBdr>
        <w:top w:val="none" w:sz="0" w:space="0" w:color="auto"/>
        <w:left w:val="none" w:sz="0" w:space="0" w:color="auto"/>
        <w:bottom w:val="none" w:sz="0" w:space="0" w:color="auto"/>
        <w:right w:val="none" w:sz="0" w:space="0" w:color="auto"/>
      </w:divBdr>
    </w:div>
    <w:div w:id="1604075295">
      <w:bodyDiv w:val="1"/>
      <w:marLeft w:val="0"/>
      <w:marRight w:val="0"/>
      <w:marTop w:val="0"/>
      <w:marBottom w:val="0"/>
      <w:divBdr>
        <w:top w:val="none" w:sz="0" w:space="0" w:color="auto"/>
        <w:left w:val="none" w:sz="0" w:space="0" w:color="auto"/>
        <w:bottom w:val="none" w:sz="0" w:space="0" w:color="auto"/>
        <w:right w:val="none" w:sz="0" w:space="0" w:color="auto"/>
      </w:divBdr>
    </w:div>
    <w:div w:id="1642735505">
      <w:bodyDiv w:val="1"/>
      <w:marLeft w:val="0"/>
      <w:marRight w:val="0"/>
      <w:marTop w:val="0"/>
      <w:marBottom w:val="0"/>
      <w:divBdr>
        <w:top w:val="none" w:sz="0" w:space="0" w:color="auto"/>
        <w:left w:val="none" w:sz="0" w:space="0" w:color="auto"/>
        <w:bottom w:val="none" w:sz="0" w:space="0" w:color="auto"/>
        <w:right w:val="none" w:sz="0" w:space="0" w:color="auto"/>
      </w:divBdr>
    </w:div>
    <w:div w:id="1643118891">
      <w:bodyDiv w:val="1"/>
      <w:marLeft w:val="0"/>
      <w:marRight w:val="0"/>
      <w:marTop w:val="0"/>
      <w:marBottom w:val="0"/>
      <w:divBdr>
        <w:top w:val="none" w:sz="0" w:space="0" w:color="auto"/>
        <w:left w:val="none" w:sz="0" w:space="0" w:color="auto"/>
        <w:bottom w:val="none" w:sz="0" w:space="0" w:color="auto"/>
        <w:right w:val="none" w:sz="0" w:space="0" w:color="auto"/>
      </w:divBdr>
    </w:div>
    <w:div w:id="1677147165">
      <w:bodyDiv w:val="1"/>
      <w:marLeft w:val="0"/>
      <w:marRight w:val="0"/>
      <w:marTop w:val="0"/>
      <w:marBottom w:val="0"/>
      <w:divBdr>
        <w:top w:val="none" w:sz="0" w:space="0" w:color="auto"/>
        <w:left w:val="none" w:sz="0" w:space="0" w:color="auto"/>
        <w:bottom w:val="none" w:sz="0" w:space="0" w:color="auto"/>
        <w:right w:val="none" w:sz="0" w:space="0" w:color="auto"/>
      </w:divBdr>
    </w:div>
    <w:div w:id="1677997848">
      <w:bodyDiv w:val="1"/>
      <w:marLeft w:val="0"/>
      <w:marRight w:val="0"/>
      <w:marTop w:val="0"/>
      <w:marBottom w:val="0"/>
      <w:divBdr>
        <w:top w:val="none" w:sz="0" w:space="0" w:color="auto"/>
        <w:left w:val="none" w:sz="0" w:space="0" w:color="auto"/>
        <w:bottom w:val="none" w:sz="0" w:space="0" w:color="auto"/>
        <w:right w:val="none" w:sz="0" w:space="0" w:color="auto"/>
      </w:divBdr>
    </w:div>
    <w:div w:id="1704596329">
      <w:bodyDiv w:val="1"/>
      <w:marLeft w:val="0"/>
      <w:marRight w:val="0"/>
      <w:marTop w:val="0"/>
      <w:marBottom w:val="0"/>
      <w:divBdr>
        <w:top w:val="none" w:sz="0" w:space="0" w:color="auto"/>
        <w:left w:val="none" w:sz="0" w:space="0" w:color="auto"/>
        <w:bottom w:val="none" w:sz="0" w:space="0" w:color="auto"/>
        <w:right w:val="none" w:sz="0" w:space="0" w:color="auto"/>
      </w:divBdr>
    </w:div>
    <w:div w:id="1754549556">
      <w:bodyDiv w:val="1"/>
      <w:marLeft w:val="0"/>
      <w:marRight w:val="0"/>
      <w:marTop w:val="0"/>
      <w:marBottom w:val="0"/>
      <w:divBdr>
        <w:top w:val="none" w:sz="0" w:space="0" w:color="auto"/>
        <w:left w:val="none" w:sz="0" w:space="0" w:color="auto"/>
        <w:bottom w:val="none" w:sz="0" w:space="0" w:color="auto"/>
        <w:right w:val="none" w:sz="0" w:space="0" w:color="auto"/>
      </w:divBdr>
    </w:div>
    <w:div w:id="1780568903">
      <w:bodyDiv w:val="1"/>
      <w:marLeft w:val="0"/>
      <w:marRight w:val="0"/>
      <w:marTop w:val="0"/>
      <w:marBottom w:val="0"/>
      <w:divBdr>
        <w:top w:val="none" w:sz="0" w:space="0" w:color="auto"/>
        <w:left w:val="none" w:sz="0" w:space="0" w:color="auto"/>
        <w:bottom w:val="none" w:sz="0" w:space="0" w:color="auto"/>
        <w:right w:val="none" w:sz="0" w:space="0" w:color="auto"/>
      </w:divBdr>
    </w:div>
    <w:div w:id="1811166730">
      <w:bodyDiv w:val="1"/>
      <w:marLeft w:val="0"/>
      <w:marRight w:val="0"/>
      <w:marTop w:val="0"/>
      <w:marBottom w:val="0"/>
      <w:divBdr>
        <w:top w:val="none" w:sz="0" w:space="0" w:color="auto"/>
        <w:left w:val="none" w:sz="0" w:space="0" w:color="auto"/>
        <w:bottom w:val="none" w:sz="0" w:space="0" w:color="auto"/>
        <w:right w:val="none" w:sz="0" w:space="0" w:color="auto"/>
      </w:divBdr>
    </w:div>
    <w:div w:id="1825973566">
      <w:bodyDiv w:val="1"/>
      <w:marLeft w:val="0"/>
      <w:marRight w:val="0"/>
      <w:marTop w:val="0"/>
      <w:marBottom w:val="0"/>
      <w:divBdr>
        <w:top w:val="none" w:sz="0" w:space="0" w:color="auto"/>
        <w:left w:val="none" w:sz="0" w:space="0" w:color="auto"/>
        <w:bottom w:val="none" w:sz="0" w:space="0" w:color="auto"/>
        <w:right w:val="none" w:sz="0" w:space="0" w:color="auto"/>
      </w:divBdr>
    </w:div>
    <w:div w:id="1838416900">
      <w:bodyDiv w:val="1"/>
      <w:marLeft w:val="0"/>
      <w:marRight w:val="0"/>
      <w:marTop w:val="0"/>
      <w:marBottom w:val="0"/>
      <w:divBdr>
        <w:top w:val="none" w:sz="0" w:space="0" w:color="auto"/>
        <w:left w:val="none" w:sz="0" w:space="0" w:color="auto"/>
        <w:bottom w:val="none" w:sz="0" w:space="0" w:color="auto"/>
        <w:right w:val="none" w:sz="0" w:space="0" w:color="auto"/>
      </w:divBdr>
    </w:div>
    <w:div w:id="1877232688">
      <w:bodyDiv w:val="1"/>
      <w:marLeft w:val="0"/>
      <w:marRight w:val="0"/>
      <w:marTop w:val="0"/>
      <w:marBottom w:val="0"/>
      <w:divBdr>
        <w:top w:val="none" w:sz="0" w:space="0" w:color="auto"/>
        <w:left w:val="none" w:sz="0" w:space="0" w:color="auto"/>
        <w:bottom w:val="none" w:sz="0" w:space="0" w:color="auto"/>
        <w:right w:val="none" w:sz="0" w:space="0" w:color="auto"/>
      </w:divBdr>
    </w:div>
    <w:div w:id="1947076490">
      <w:bodyDiv w:val="1"/>
      <w:marLeft w:val="0"/>
      <w:marRight w:val="0"/>
      <w:marTop w:val="0"/>
      <w:marBottom w:val="0"/>
      <w:divBdr>
        <w:top w:val="none" w:sz="0" w:space="0" w:color="auto"/>
        <w:left w:val="none" w:sz="0" w:space="0" w:color="auto"/>
        <w:bottom w:val="none" w:sz="0" w:space="0" w:color="auto"/>
        <w:right w:val="none" w:sz="0" w:space="0" w:color="auto"/>
      </w:divBdr>
    </w:div>
    <w:div w:id="1958877857">
      <w:bodyDiv w:val="1"/>
      <w:marLeft w:val="0"/>
      <w:marRight w:val="0"/>
      <w:marTop w:val="0"/>
      <w:marBottom w:val="0"/>
      <w:divBdr>
        <w:top w:val="none" w:sz="0" w:space="0" w:color="auto"/>
        <w:left w:val="none" w:sz="0" w:space="0" w:color="auto"/>
        <w:bottom w:val="none" w:sz="0" w:space="0" w:color="auto"/>
        <w:right w:val="none" w:sz="0" w:space="0" w:color="auto"/>
      </w:divBdr>
    </w:div>
    <w:div w:id="1959680635">
      <w:bodyDiv w:val="1"/>
      <w:marLeft w:val="0"/>
      <w:marRight w:val="0"/>
      <w:marTop w:val="0"/>
      <w:marBottom w:val="0"/>
      <w:divBdr>
        <w:top w:val="none" w:sz="0" w:space="0" w:color="auto"/>
        <w:left w:val="none" w:sz="0" w:space="0" w:color="auto"/>
        <w:bottom w:val="none" w:sz="0" w:space="0" w:color="auto"/>
        <w:right w:val="none" w:sz="0" w:space="0" w:color="auto"/>
      </w:divBdr>
    </w:div>
    <w:div w:id="1985889984">
      <w:bodyDiv w:val="1"/>
      <w:marLeft w:val="0"/>
      <w:marRight w:val="0"/>
      <w:marTop w:val="0"/>
      <w:marBottom w:val="0"/>
      <w:divBdr>
        <w:top w:val="none" w:sz="0" w:space="0" w:color="auto"/>
        <w:left w:val="none" w:sz="0" w:space="0" w:color="auto"/>
        <w:bottom w:val="none" w:sz="0" w:space="0" w:color="auto"/>
        <w:right w:val="none" w:sz="0" w:space="0" w:color="auto"/>
      </w:divBdr>
    </w:div>
    <w:div w:id="2026244047">
      <w:bodyDiv w:val="1"/>
      <w:marLeft w:val="0"/>
      <w:marRight w:val="0"/>
      <w:marTop w:val="0"/>
      <w:marBottom w:val="0"/>
      <w:divBdr>
        <w:top w:val="none" w:sz="0" w:space="0" w:color="auto"/>
        <w:left w:val="none" w:sz="0" w:space="0" w:color="auto"/>
        <w:bottom w:val="none" w:sz="0" w:space="0" w:color="auto"/>
        <w:right w:val="none" w:sz="0" w:space="0" w:color="auto"/>
      </w:divBdr>
    </w:div>
    <w:div w:id="2044358221">
      <w:bodyDiv w:val="1"/>
      <w:marLeft w:val="0"/>
      <w:marRight w:val="0"/>
      <w:marTop w:val="0"/>
      <w:marBottom w:val="0"/>
      <w:divBdr>
        <w:top w:val="none" w:sz="0" w:space="0" w:color="auto"/>
        <w:left w:val="none" w:sz="0" w:space="0" w:color="auto"/>
        <w:bottom w:val="none" w:sz="0" w:space="0" w:color="auto"/>
        <w:right w:val="none" w:sz="0" w:space="0" w:color="auto"/>
      </w:divBdr>
    </w:div>
    <w:div w:id="2049987844">
      <w:bodyDiv w:val="1"/>
      <w:marLeft w:val="0"/>
      <w:marRight w:val="0"/>
      <w:marTop w:val="0"/>
      <w:marBottom w:val="0"/>
      <w:divBdr>
        <w:top w:val="none" w:sz="0" w:space="0" w:color="auto"/>
        <w:left w:val="none" w:sz="0" w:space="0" w:color="auto"/>
        <w:bottom w:val="none" w:sz="0" w:space="0" w:color="auto"/>
        <w:right w:val="none" w:sz="0" w:space="0" w:color="auto"/>
      </w:divBdr>
    </w:div>
    <w:div w:id="2053572027">
      <w:bodyDiv w:val="1"/>
      <w:marLeft w:val="0"/>
      <w:marRight w:val="0"/>
      <w:marTop w:val="0"/>
      <w:marBottom w:val="0"/>
      <w:divBdr>
        <w:top w:val="none" w:sz="0" w:space="0" w:color="auto"/>
        <w:left w:val="none" w:sz="0" w:space="0" w:color="auto"/>
        <w:bottom w:val="none" w:sz="0" w:space="0" w:color="auto"/>
        <w:right w:val="none" w:sz="0" w:space="0" w:color="auto"/>
      </w:divBdr>
    </w:div>
    <w:div w:id="2079010614">
      <w:bodyDiv w:val="1"/>
      <w:marLeft w:val="0"/>
      <w:marRight w:val="0"/>
      <w:marTop w:val="0"/>
      <w:marBottom w:val="0"/>
      <w:divBdr>
        <w:top w:val="none" w:sz="0" w:space="0" w:color="auto"/>
        <w:left w:val="none" w:sz="0" w:space="0" w:color="auto"/>
        <w:bottom w:val="none" w:sz="0" w:space="0" w:color="auto"/>
        <w:right w:val="none" w:sz="0" w:space="0" w:color="auto"/>
      </w:divBdr>
    </w:div>
    <w:div w:id="2110541502">
      <w:bodyDiv w:val="1"/>
      <w:marLeft w:val="0"/>
      <w:marRight w:val="0"/>
      <w:marTop w:val="0"/>
      <w:marBottom w:val="0"/>
      <w:divBdr>
        <w:top w:val="none" w:sz="0" w:space="0" w:color="auto"/>
        <w:left w:val="none" w:sz="0" w:space="0" w:color="auto"/>
        <w:bottom w:val="none" w:sz="0" w:space="0" w:color="auto"/>
        <w:right w:val="none" w:sz="0" w:space="0" w:color="auto"/>
      </w:divBdr>
    </w:div>
    <w:div w:id="2119526460">
      <w:bodyDiv w:val="1"/>
      <w:marLeft w:val="0"/>
      <w:marRight w:val="0"/>
      <w:marTop w:val="0"/>
      <w:marBottom w:val="0"/>
      <w:divBdr>
        <w:top w:val="none" w:sz="0" w:space="0" w:color="auto"/>
        <w:left w:val="none" w:sz="0" w:space="0" w:color="auto"/>
        <w:bottom w:val="none" w:sz="0" w:space="0" w:color="auto"/>
        <w:right w:val="none" w:sz="0" w:space="0" w:color="auto"/>
      </w:divBdr>
    </w:div>
    <w:div w:id="2130737182">
      <w:bodyDiv w:val="1"/>
      <w:marLeft w:val="0"/>
      <w:marRight w:val="0"/>
      <w:marTop w:val="0"/>
      <w:marBottom w:val="0"/>
      <w:divBdr>
        <w:top w:val="none" w:sz="0" w:space="0" w:color="auto"/>
        <w:left w:val="none" w:sz="0" w:space="0" w:color="auto"/>
        <w:bottom w:val="none" w:sz="0" w:space="0" w:color="auto"/>
        <w:right w:val="none" w:sz="0" w:space="0" w:color="auto"/>
      </w:divBdr>
    </w:div>
    <w:div w:id="213359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chart" Target="charts/chart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jp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hart" Target="charts/chart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7.jpg"/><Relationship Id="rId27" Type="http://schemas.openxmlformats.org/officeDocument/2006/relationships/customXml" Target="../customXml/item5.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16;yvindNystadHandberg\Dropbox%20(Menon)\Admin%20Menon\Maler\Menon-maler%202018\MENON-MAL%20RAPPORT%20Oct%202018.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menonbusinesseconomics.sharepoint.com/sites/121792/Shared%20Documents/General/Data%20og%20analyse/Beregninger180319.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menonbusinesseconomics.sharepoint.com/sites/121792/Shared%20Documents/General/Data%20og%20analyse/Beregninger180319.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menonbusinesseconomics.sharepoint.com/sites/121792/Shared%20Documents/General/Data%20og%20analyse/Beregninger180319.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menonbusinesseconomics.sharepoint.com/sites/121792/Shared%20Documents/General/Data%20og%20analyse/Beregninger180319.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Figurer!$B$4</c:f>
              <c:strCache>
                <c:ptCount val="1"/>
                <c:pt idx="0">
                  <c:v>Buss</c:v>
                </c:pt>
              </c:strCache>
            </c:strRef>
          </c:tx>
          <c:spPr>
            <a:solidFill>
              <a:schemeClr val="accent1"/>
            </a:solidFill>
            <a:ln w="25400">
              <a:noFill/>
            </a:ln>
            <a:effectLst/>
          </c:spPr>
          <c:cat>
            <c:numRef>
              <c:f>Figurer!$A$27:$A$34</c:f>
              <c:numCache>
                <c:formatCode>General</c:formatCode>
                <c:ptCount val="8"/>
                <c:pt idx="0">
                  <c:v>2018</c:v>
                </c:pt>
                <c:pt idx="1">
                  <c:v>2019</c:v>
                </c:pt>
                <c:pt idx="2">
                  <c:v>2020</c:v>
                </c:pt>
                <c:pt idx="3">
                  <c:v>2021</c:v>
                </c:pt>
                <c:pt idx="4">
                  <c:v>2022</c:v>
                </c:pt>
                <c:pt idx="5">
                  <c:v>2023</c:v>
                </c:pt>
                <c:pt idx="6">
                  <c:v>2024</c:v>
                </c:pt>
                <c:pt idx="7">
                  <c:v>2025</c:v>
                </c:pt>
              </c:numCache>
            </c:numRef>
          </c:cat>
          <c:val>
            <c:numRef>
              <c:f>Figurer!$B$27:$B$34</c:f>
              <c:numCache>
                <c:formatCode>#,##0</c:formatCode>
                <c:ptCount val="8"/>
                <c:pt idx="0">
                  <c:v>66665.207408887058</c:v>
                </c:pt>
                <c:pt idx="1">
                  <c:v>133140.17307924642</c:v>
                </c:pt>
                <c:pt idx="2">
                  <c:v>142870.05125159936</c:v>
                </c:pt>
                <c:pt idx="3">
                  <c:v>143208.63125159935</c:v>
                </c:pt>
                <c:pt idx="4">
                  <c:v>143208.63125159935</c:v>
                </c:pt>
                <c:pt idx="5">
                  <c:v>143208.63125159935</c:v>
                </c:pt>
                <c:pt idx="6">
                  <c:v>143721.63125159935</c:v>
                </c:pt>
                <c:pt idx="7">
                  <c:v>143721.63125159935</c:v>
                </c:pt>
              </c:numCache>
            </c:numRef>
          </c:val>
          <c:extLst>
            <c:ext xmlns:c16="http://schemas.microsoft.com/office/drawing/2014/chart" uri="{C3380CC4-5D6E-409C-BE32-E72D297353CC}">
              <c16:uniqueId val="{00000000-8964-45F1-88C9-1D549A07F08B}"/>
            </c:ext>
          </c:extLst>
        </c:ser>
        <c:ser>
          <c:idx val="1"/>
          <c:order val="1"/>
          <c:tx>
            <c:strRef>
              <c:f>Figurer!$C$4</c:f>
              <c:strCache>
                <c:ptCount val="1"/>
                <c:pt idx="0">
                  <c:v>Ferge</c:v>
                </c:pt>
              </c:strCache>
            </c:strRef>
          </c:tx>
          <c:spPr>
            <a:solidFill>
              <a:schemeClr val="accent2"/>
            </a:solidFill>
            <a:ln w="25400">
              <a:noFill/>
            </a:ln>
            <a:effectLst/>
          </c:spPr>
          <c:cat>
            <c:numRef>
              <c:f>Figurer!$A$27:$A$34</c:f>
              <c:numCache>
                <c:formatCode>General</c:formatCode>
                <c:ptCount val="8"/>
                <c:pt idx="0">
                  <c:v>2018</c:v>
                </c:pt>
                <c:pt idx="1">
                  <c:v>2019</c:v>
                </c:pt>
                <c:pt idx="2">
                  <c:v>2020</c:v>
                </c:pt>
                <c:pt idx="3">
                  <c:v>2021</c:v>
                </c:pt>
                <c:pt idx="4">
                  <c:v>2022</c:v>
                </c:pt>
                <c:pt idx="5">
                  <c:v>2023</c:v>
                </c:pt>
                <c:pt idx="6">
                  <c:v>2024</c:v>
                </c:pt>
                <c:pt idx="7">
                  <c:v>2025</c:v>
                </c:pt>
              </c:numCache>
            </c:numRef>
          </c:cat>
          <c:val>
            <c:numRef>
              <c:f>Figurer!$C$27:$C$34</c:f>
              <c:numCache>
                <c:formatCode>#,##0</c:formatCode>
                <c:ptCount val="8"/>
                <c:pt idx="0">
                  <c:v>6292.5070265802769</c:v>
                </c:pt>
                <c:pt idx="1">
                  <c:v>21700.116574695341</c:v>
                </c:pt>
                <c:pt idx="2">
                  <c:v>85766.920585988046</c:v>
                </c:pt>
                <c:pt idx="3">
                  <c:v>86551.440816544608</c:v>
                </c:pt>
                <c:pt idx="4">
                  <c:v>86551.440816544608</c:v>
                </c:pt>
                <c:pt idx="5">
                  <c:v>86551.440816544608</c:v>
                </c:pt>
                <c:pt idx="6">
                  <c:v>95287.495371575525</c:v>
                </c:pt>
                <c:pt idx="7">
                  <c:v>95287.495371575525</c:v>
                </c:pt>
              </c:numCache>
            </c:numRef>
          </c:val>
          <c:extLst>
            <c:ext xmlns:c16="http://schemas.microsoft.com/office/drawing/2014/chart" uri="{C3380CC4-5D6E-409C-BE32-E72D297353CC}">
              <c16:uniqueId val="{00000001-8964-45F1-88C9-1D549A07F08B}"/>
            </c:ext>
          </c:extLst>
        </c:ser>
        <c:ser>
          <c:idx val="2"/>
          <c:order val="2"/>
          <c:tx>
            <c:strRef>
              <c:f>Figurer!$D$4</c:f>
              <c:strCache>
                <c:ptCount val="1"/>
                <c:pt idx="0">
                  <c:v>Hurtigbåt</c:v>
                </c:pt>
              </c:strCache>
            </c:strRef>
          </c:tx>
          <c:spPr>
            <a:solidFill>
              <a:schemeClr val="accent3"/>
            </a:solidFill>
            <a:ln w="25400">
              <a:noFill/>
            </a:ln>
            <a:effectLst/>
          </c:spPr>
          <c:cat>
            <c:numRef>
              <c:f>Figurer!$A$27:$A$34</c:f>
              <c:numCache>
                <c:formatCode>General</c:formatCode>
                <c:ptCount val="8"/>
                <c:pt idx="0">
                  <c:v>2018</c:v>
                </c:pt>
                <c:pt idx="1">
                  <c:v>2019</c:v>
                </c:pt>
                <c:pt idx="2">
                  <c:v>2020</c:v>
                </c:pt>
                <c:pt idx="3">
                  <c:v>2021</c:v>
                </c:pt>
                <c:pt idx="4">
                  <c:v>2022</c:v>
                </c:pt>
                <c:pt idx="5">
                  <c:v>2023</c:v>
                </c:pt>
                <c:pt idx="6">
                  <c:v>2024</c:v>
                </c:pt>
                <c:pt idx="7">
                  <c:v>2025</c:v>
                </c:pt>
              </c:numCache>
            </c:numRef>
          </c:cat>
          <c:val>
            <c:numRef>
              <c:f>Figurer!$D$27:$D$34</c:f>
              <c:numCache>
                <c:formatCode>#,##0</c:formatCode>
                <c:ptCount val="8"/>
                <c:pt idx="0">
                  <c:v>747.65554976582825</c:v>
                </c:pt>
                <c:pt idx="1">
                  <c:v>7325.1646564440589</c:v>
                </c:pt>
                <c:pt idx="2">
                  <c:v>7325.1646564440589</c:v>
                </c:pt>
                <c:pt idx="3">
                  <c:v>7407.0066244440586</c:v>
                </c:pt>
                <c:pt idx="4">
                  <c:v>7407.0066244440586</c:v>
                </c:pt>
                <c:pt idx="5">
                  <c:v>7407.0066244440586</c:v>
                </c:pt>
                <c:pt idx="6">
                  <c:v>7407.0066244440586</c:v>
                </c:pt>
                <c:pt idx="7">
                  <c:v>7407.0066244440586</c:v>
                </c:pt>
              </c:numCache>
            </c:numRef>
          </c:val>
          <c:extLst>
            <c:ext xmlns:c16="http://schemas.microsoft.com/office/drawing/2014/chart" uri="{C3380CC4-5D6E-409C-BE32-E72D297353CC}">
              <c16:uniqueId val="{00000002-8964-45F1-88C9-1D549A07F08B}"/>
            </c:ext>
          </c:extLst>
        </c:ser>
        <c:dLbls>
          <c:showLegendKey val="0"/>
          <c:showVal val="0"/>
          <c:showCatName val="0"/>
          <c:showSerName val="0"/>
          <c:showPercent val="0"/>
          <c:showBubbleSize val="0"/>
        </c:dLbls>
        <c:axId val="1079784080"/>
        <c:axId val="1076502704"/>
      </c:areaChart>
      <c:catAx>
        <c:axId val="10797840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502704"/>
        <c:crosses val="autoZero"/>
        <c:auto val="1"/>
        <c:lblAlgn val="ctr"/>
        <c:lblOffset val="100"/>
        <c:noMultiLvlLbl val="0"/>
      </c:catAx>
      <c:valAx>
        <c:axId val="1076502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7840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Figurer!$B$4</c:f>
              <c:strCache>
                <c:ptCount val="1"/>
                <c:pt idx="0">
                  <c:v>Buss</c:v>
                </c:pt>
              </c:strCache>
            </c:strRef>
          </c:tx>
          <c:spPr>
            <a:solidFill>
              <a:schemeClr val="accent1"/>
            </a:solidFill>
            <a:ln w="25400">
              <a:noFill/>
            </a:ln>
            <a:effectLst/>
          </c:spPr>
          <c:cat>
            <c:numRef>
              <c:f>Figurer!$A$16:$A$23</c:f>
              <c:numCache>
                <c:formatCode>General</c:formatCode>
                <c:ptCount val="8"/>
                <c:pt idx="0">
                  <c:v>2018</c:v>
                </c:pt>
                <c:pt idx="1">
                  <c:v>2019</c:v>
                </c:pt>
                <c:pt idx="2">
                  <c:v>2020</c:v>
                </c:pt>
                <c:pt idx="3">
                  <c:v>2021</c:v>
                </c:pt>
                <c:pt idx="4">
                  <c:v>2022</c:v>
                </c:pt>
                <c:pt idx="5">
                  <c:v>2023</c:v>
                </c:pt>
                <c:pt idx="6">
                  <c:v>2024</c:v>
                </c:pt>
                <c:pt idx="7">
                  <c:v>2025</c:v>
                </c:pt>
              </c:numCache>
            </c:numRef>
          </c:cat>
          <c:val>
            <c:numRef>
              <c:f>Figurer!$B$16:$B$23</c:f>
              <c:numCache>
                <c:formatCode>#,##0</c:formatCode>
                <c:ptCount val="8"/>
                <c:pt idx="0">
                  <c:v>67.675171352260591</c:v>
                </c:pt>
                <c:pt idx="1">
                  <c:v>121.56203106379664</c:v>
                </c:pt>
                <c:pt idx="2">
                  <c:v>137.34813500309076</c:v>
                </c:pt>
                <c:pt idx="3">
                  <c:v>137.34813500309076</c:v>
                </c:pt>
                <c:pt idx="4">
                  <c:v>137.34813500309076</c:v>
                </c:pt>
                <c:pt idx="5">
                  <c:v>137.34813500309076</c:v>
                </c:pt>
                <c:pt idx="6">
                  <c:v>139.26419186546073</c:v>
                </c:pt>
                <c:pt idx="7">
                  <c:v>139.26419186546073</c:v>
                </c:pt>
              </c:numCache>
            </c:numRef>
          </c:val>
          <c:extLst>
            <c:ext xmlns:c16="http://schemas.microsoft.com/office/drawing/2014/chart" uri="{C3380CC4-5D6E-409C-BE32-E72D297353CC}">
              <c16:uniqueId val="{00000000-C13E-4440-894A-8AB2CAA49E8D}"/>
            </c:ext>
          </c:extLst>
        </c:ser>
        <c:ser>
          <c:idx val="1"/>
          <c:order val="1"/>
          <c:tx>
            <c:strRef>
              <c:f>Figurer!$C$4</c:f>
              <c:strCache>
                <c:ptCount val="1"/>
                <c:pt idx="0">
                  <c:v>Ferge</c:v>
                </c:pt>
              </c:strCache>
            </c:strRef>
          </c:tx>
          <c:spPr>
            <a:solidFill>
              <a:schemeClr val="accent2"/>
            </a:solidFill>
            <a:ln w="25400">
              <a:noFill/>
            </a:ln>
            <a:effectLst/>
          </c:spPr>
          <c:cat>
            <c:numRef>
              <c:f>Figurer!$A$16:$A$23</c:f>
              <c:numCache>
                <c:formatCode>General</c:formatCode>
                <c:ptCount val="8"/>
                <c:pt idx="0">
                  <c:v>2018</c:v>
                </c:pt>
                <c:pt idx="1">
                  <c:v>2019</c:v>
                </c:pt>
                <c:pt idx="2">
                  <c:v>2020</c:v>
                </c:pt>
                <c:pt idx="3">
                  <c:v>2021</c:v>
                </c:pt>
                <c:pt idx="4">
                  <c:v>2022</c:v>
                </c:pt>
                <c:pt idx="5">
                  <c:v>2023</c:v>
                </c:pt>
                <c:pt idx="6">
                  <c:v>2024</c:v>
                </c:pt>
                <c:pt idx="7">
                  <c:v>2025</c:v>
                </c:pt>
              </c:numCache>
            </c:numRef>
          </c:cat>
          <c:val>
            <c:numRef>
              <c:f>Figurer!$C$16:$C$23</c:f>
              <c:numCache>
                <c:formatCode>#,##0</c:formatCode>
                <c:ptCount val="8"/>
                <c:pt idx="0">
                  <c:v>39.11033129960866</c:v>
                </c:pt>
                <c:pt idx="1">
                  <c:v>115.40863644715238</c:v>
                </c:pt>
                <c:pt idx="2">
                  <c:v>439.81935699608931</c:v>
                </c:pt>
                <c:pt idx="3">
                  <c:v>442.86308652896935</c:v>
                </c:pt>
                <c:pt idx="4">
                  <c:v>442.86308652896935</c:v>
                </c:pt>
                <c:pt idx="5">
                  <c:v>442.86308652896935</c:v>
                </c:pt>
                <c:pt idx="6">
                  <c:v>468.20900680507378</c:v>
                </c:pt>
                <c:pt idx="7">
                  <c:v>468.20900680507378</c:v>
                </c:pt>
              </c:numCache>
            </c:numRef>
          </c:val>
          <c:extLst>
            <c:ext xmlns:c16="http://schemas.microsoft.com/office/drawing/2014/chart" uri="{C3380CC4-5D6E-409C-BE32-E72D297353CC}">
              <c16:uniqueId val="{00000001-C13E-4440-894A-8AB2CAA49E8D}"/>
            </c:ext>
          </c:extLst>
        </c:ser>
        <c:ser>
          <c:idx val="2"/>
          <c:order val="2"/>
          <c:tx>
            <c:strRef>
              <c:f>Figurer!$D$4</c:f>
              <c:strCache>
                <c:ptCount val="1"/>
                <c:pt idx="0">
                  <c:v>Hurtigbåt</c:v>
                </c:pt>
              </c:strCache>
            </c:strRef>
          </c:tx>
          <c:spPr>
            <a:solidFill>
              <a:schemeClr val="accent3"/>
            </a:solidFill>
            <a:ln w="25400">
              <a:noFill/>
            </a:ln>
            <a:effectLst/>
          </c:spPr>
          <c:cat>
            <c:numRef>
              <c:f>Figurer!$A$16:$A$23</c:f>
              <c:numCache>
                <c:formatCode>General</c:formatCode>
                <c:ptCount val="8"/>
                <c:pt idx="0">
                  <c:v>2018</c:v>
                </c:pt>
                <c:pt idx="1">
                  <c:v>2019</c:v>
                </c:pt>
                <c:pt idx="2">
                  <c:v>2020</c:v>
                </c:pt>
                <c:pt idx="3">
                  <c:v>2021</c:v>
                </c:pt>
                <c:pt idx="4">
                  <c:v>2022</c:v>
                </c:pt>
                <c:pt idx="5">
                  <c:v>2023</c:v>
                </c:pt>
                <c:pt idx="6">
                  <c:v>2024</c:v>
                </c:pt>
                <c:pt idx="7">
                  <c:v>2025</c:v>
                </c:pt>
              </c:numCache>
            </c:numRef>
          </c:cat>
          <c:val>
            <c:numRef>
              <c:f>Figurer!$D$16:$D$23</c:f>
              <c:numCache>
                <c:formatCode>#,##0</c:formatCode>
                <c:ptCount val="8"/>
                <c:pt idx="0">
                  <c:v>2.895008108169991</c:v>
                </c:pt>
                <c:pt idx="1">
                  <c:v>12.995008108169991</c:v>
                </c:pt>
                <c:pt idx="2">
                  <c:v>12.995008108169991</c:v>
                </c:pt>
                <c:pt idx="3">
                  <c:v>37.727450083403198</c:v>
                </c:pt>
                <c:pt idx="4">
                  <c:v>37.727450083403198</c:v>
                </c:pt>
                <c:pt idx="5">
                  <c:v>37.727450083403198</c:v>
                </c:pt>
                <c:pt idx="6">
                  <c:v>37.727450083403198</c:v>
                </c:pt>
                <c:pt idx="7">
                  <c:v>37.727450083403198</c:v>
                </c:pt>
              </c:numCache>
            </c:numRef>
          </c:val>
          <c:extLst>
            <c:ext xmlns:c16="http://schemas.microsoft.com/office/drawing/2014/chart" uri="{C3380CC4-5D6E-409C-BE32-E72D297353CC}">
              <c16:uniqueId val="{00000002-C13E-4440-894A-8AB2CAA49E8D}"/>
            </c:ext>
          </c:extLst>
        </c:ser>
        <c:dLbls>
          <c:showLegendKey val="0"/>
          <c:showVal val="0"/>
          <c:showCatName val="0"/>
          <c:showSerName val="0"/>
          <c:showPercent val="0"/>
          <c:showBubbleSize val="0"/>
        </c:dLbls>
        <c:axId val="1079784080"/>
        <c:axId val="1076502704"/>
      </c:areaChart>
      <c:catAx>
        <c:axId val="10797840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502704"/>
        <c:crosses val="autoZero"/>
        <c:auto val="1"/>
        <c:lblAlgn val="ctr"/>
        <c:lblOffset val="100"/>
        <c:noMultiLvlLbl val="0"/>
      </c:catAx>
      <c:valAx>
        <c:axId val="10765027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7840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cked"/>
        <c:varyColors val="0"/>
        <c:ser>
          <c:idx val="0"/>
          <c:order val="0"/>
          <c:tx>
            <c:strRef>
              <c:f>Figurer!$R$15</c:f>
              <c:strCache>
                <c:ptCount val="1"/>
                <c:pt idx="0">
                  <c:v>Buss</c:v>
                </c:pt>
              </c:strCache>
            </c:strRef>
          </c:tx>
          <c:spPr>
            <a:solidFill>
              <a:schemeClr val="accent1"/>
            </a:solidFill>
            <a:ln w="25400">
              <a:noFill/>
            </a:ln>
            <a:effectLst/>
          </c:spPr>
          <c:cat>
            <c:numRef>
              <c:f>Figurer!$A$16:$A$23</c:f>
              <c:numCache>
                <c:formatCode>General</c:formatCode>
                <c:ptCount val="8"/>
                <c:pt idx="0">
                  <c:v>2018</c:v>
                </c:pt>
                <c:pt idx="1">
                  <c:v>2019</c:v>
                </c:pt>
                <c:pt idx="2">
                  <c:v>2020</c:v>
                </c:pt>
                <c:pt idx="3">
                  <c:v>2021</c:v>
                </c:pt>
                <c:pt idx="4">
                  <c:v>2022</c:v>
                </c:pt>
                <c:pt idx="5">
                  <c:v>2023</c:v>
                </c:pt>
                <c:pt idx="6">
                  <c:v>2024</c:v>
                </c:pt>
                <c:pt idx="7">
                  <c:v>2025</c:v>
                </c:pt>
              </c:numCache>
            </c:numRef>
          </c:cat>
          <c:val>
            <c:numRef>
              <c:f>Figurer!$R$16:$R$23</c:f>
              <c:numCache>
                <c:formatCode>#,##0</c:formatCode>
                <c:ptCount val="8"/>
                <c:pt idx="0">
                  <c:v>65.862016951400435</c:v>
                </c:pt>
                <c:pt idx="1">
                  <c:v>114.74934798399048</c:v>
                </c:pt>
                <c:pt idx="2">
                  <c:v>130.5354519232846</c:v>
                </c:pt>
                <c:pt idx="3">
                  <c:v>130.5354519232846</c:v>
                </c:pt>
                <c:pt idx="4">
                  <c:v>130.5354519232846</c:v>
                </c:pt>
                <c:pt idx="5">
                  <c:v>130.5354519232846</c:v>
                </c:pt>
                <c:pt idx="6">
                  <c:v>131.40415192328459</c:v>
                </c:pt>
                <c:pt idx="7">
                  <c:v>131.40415192328459</c:v>
                </c:pt>
              </c:numCache>
            </c:numRef>
          </c:val>
          <c:extLst>
            <c:ext xmlns:c16="http://schemas.microsoft.com/office/drawing/2014/chart" uri="{C3380CC4-5D6E-409C-BE32-E72D297353CC}">
              <c16:uniqueId val="{00000000-C2DA-422A-BCB5-DB1731835A09}"/>
            </c:ext>
          </c:extLst>
        </c:ser>
        <c:ser>
          <c:idx val="1"/>
          <c:order val="1"/>
          <c:tx>
            <c:strRef>
              <c:f>Figurer!$S$15</c:f>
              <c:strCache>
                <c:ptCount val="1"/>
                <c:pt idx="0">
                  <c:v>Ferge</c:v>
                </c:pt>
              </c:strCache>
            </c:strRef>
          </c:tx>
          <c:spPr>
            <a:solidFill>
              <a:schemeClr val="accent2"/>
            </a:solidFill>
            <a:ln w="25400">
              <a:noFill/>
            </a:ln>
            <a:effectLst/>
          </c:spPr>
          <c:cat>
            <c:numRef>
              <c:f>Figurer!$A$16:$A$23</c:f>
              <c:numCache>
                <c:formatCode>General</c:formatCode>
                <c:ptCount val="8"/>
                <c:pt idx="0">
                  <c:v>2018</c:v>
                </c:pt>
                <c:pt idx="1">
                  <c:v>2019</c:v>
                </c:pt>
                <c:pt idx="2">
                  <c:v>2020</c:v>
                </c:pt>
                <c:pt idx="3">
                  <c:v>2021</c:v>
                </c:pt>
                <c:pt idx="4">
                  <c:v>2022</c:v>
                </c:pt>
                <c:pt idx="5">
                  <c:v>2023</c:v>
                </c:pt>
                <c:pt idx="6">
                  <c:v>2024</c:v>
                </c:pt>
                <c:pt idx="7">
                  <c:v>2025</c:v>
                </c:pt>
              </c:numCache>
            </c:numRef>
          </c:cat>
          <c:val>
            <c:numRef>
              <c:f>Figurer!$S$16:$S$23</c:f>
              <c:numCache>
                <c:formatCode>#,##0</c:formatCode>
                <c:ptCount val="8"/>
                <c:pt idx="0">
                  <c:v>33.529411764705884</c:v>
                </c:pt>
                <c:pt idx="1">
                  <c:v>86.816694090798109</c:v>
                </c:pt>
                <c:pt idx="2">
                  <c:v>343.90231564057888</c:v>
                </c:pt>
                <c:pt idx="3">
                  <c:v>345.6313712876389</c:v>
                </c:pt>
                <c:pt idx="4">
                  <c:v>345.6313712876389</c:v>
                </c:pt>
                <c:pt idx="5">
                  <c:v>345.6313712876389</c:v>
                </c:pt>
                <c:pt idx="6">
                  <c:v>357.42582069330393</c:v>
                </c:pt>
                <c:pt idx="7">
                  <c:v>357.42582069330393</c:v>
                </c:pt>
              </c:numCache>
            </c:numRef>
          </c:val>
          <c:extLst>
            <c:ext xmlns:c16="http://schemas.microsoft.com/office/drawing/2014/chart" uri="{C3380CC4-5D6E-409C-BE32-E72D297353CC}">
              <c16:uniqueId val="{00000001-C2DA-422A-BCB5-DB1731835A09}"/>
            </c:ext>
          </c:extLst>
        </c:ser>
        <c:ser>
          <c:idx val="2"/>
          <c:order val="2"/>
          <c:tx>
            <c:strRef>
              <c:f>Figurer!$T$15</c:f>
              <c:strCache>
                <c:ptCount val="1"/>
                <c:pt idx="0">
                  <c:v>Hurtigbåt</c:v>
                </c:pt>
              </c:strCache>
            </c:strRef>
          </c:tx>
          <c:spPr>
            <a:solidFill>
              <a:schemeClr val="accent3"/>
            </a:solidFill>
            <a:ln w="25400">
              <a:noFill/>
            </a:ln>
            <a:effectLst/>
          </c:spPr>
          <c:cat>
            <c:numRef>
              <c:f>Figurer!$A$16:$A$23</c:f>
              <c:numCache>
                <c:formatCode>General</c:formatCode>
                <c:ptCount val="8"/>
                <c:pt idx="0">
                  <c:v>2018</c:v>
                </c:pt>
                <c:pt idx="1">
                  <c:v>2019</c:v>
                </c:pt>
                <c:pt idx="2">
                  <c:v>2020</c:v>
                </c:pt>
                <c:pt idx="3">
                  <c:v>2021</c:v>
                </c:pt>
                <c:pt idx="4">
                  <c:v>2022</c:v>
                </c:pt>
                <c:pt idx="5">
                  <c:v>2023</c:v>
                </c:pt>
                <c:pt idx="6">
                  <c:v>2024</c:v>
                </c:pt>
                <c:pt idx="7">
                  <c:v>2025</c:v>
                </c:pt>
              </c:numCache>
            </c:numRef>
          </c:cat>
          <c:val>
            <c:numRef>
              <c:f>Figurer!$T$16:$T$23</c:f>
              <c:numCache>
                <c:formatCode>#,##0</c:formatCode>
                <c:ptCount val="8"/>
                <c:pt idx="0">
                  <c:v>2.895008108169991</c:v>
                </c:pt>
                <c:pt idx="1">
                  <c:v>10.639550729409063</c:v>
                </c:pt>
                <c:pt idx="2">
                  <c:v>10.639550729409063</c:v>
                </c:pt>
                <c:pt idx="3">
                  <c:v>10.581753642681344</c:v>
                </c:pt>
                <c:pt idx="4">
                  <c:v>10.581753642681344</c:v>
                </c:pt>
                <c:pt idx="5">
                  <c:v>10.581753642681344</c:v>
                </c:pt>
                <c:pt idx="6">
                  <c:v>10.581753642681344</c:v>
                </c:pt>
                <c:pt idx="7">
                  <c:v>10.581753642681344</c:v>
                </c:pt>
              </c:numCache>
            </c:numRef>
          </c:val>
          <c:extLst>
            <c:ext xmlns:c16="http://schemas.microsoft.com/office/drawing/2014/chart" uri="{C3380CC4-5D6E-409C-BE32-E72D297353CC}">
              <c16:uniqueId val="{00000002-C2DA-422A-BCB5-DB1731835A09}"/>
            </c:ext>
          </c:extLst>
        </c:ser>
        <c:dLbls>
          <c:showLegendKey val="0"/>
          <c:showVal val="0"/>
          <c:showCatName val="0"/>
          <c:showSerName val="0"/>
          <c:showPercent val="0"/>
          <c:showBubbleSize val="0"/>
        </c:dLbls>
        <c:axId val="1079784080"/>
        <c:axId val="1076502704"/>
      </c:areaChart>
      <c:catAx>
        <c:axId val="107978408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6502704"/>
        <c:crosses val="autoZero"/>
        <c:auto val="1"/>
        <c:lblAlgn val="ctr"/>
        <c:lblOffset val="100"/>
        <c:noMultiLvlLbl val="0"/>
      </c:catAx>
      <c:valAx>
        <c:axId val="1076502704"/>
        <c:scaling>
          <c:orientation val="minMax"/>
          <c:max val="7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78408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'Framtidige kostnader'!$AK$3</c:f>
              <c:strCache>
                <c:ptCount val="1"/>
                <c:pt idx="0">
                  <c:v>Høy</c:v>
                </c:pt>
              </c:strCache>
            </c:strRef>
          </c:tx>
          <c:spPr>
            <a:ln w="25400" cap="rnd">
              <a:noFill/>
              <a:round/>
            </a:ln>
            <a:effectLst/>
          </c:spPr>
          <c:marker>
            <c:symbol val="circle"/>
            <c:size val="7"/>
            <c:spPr>
              <a:solidFill>
                <a:srgbClr val="941100"/>
              </a:solidFill>
              <a:ln w="9525">
                <a:noFill/>
              </a:ln>
              <a:effectLst/>
            </c:spPr>
          </c:marker>
          <c:cat>
            <c:numRef>
              <c:f>'Framtidige kostnader'!$X$53:$X$64</c:f>
              <c:numCache>
                <c:formatCode>General</c:formatCode>
                <c:ptCount val="12"/>
                <c:pt idx="0">
                  <c:v>2019</c:v>
                </c:pt>
                <c:pt idx="1">
                  <c:v>2020</c:v>
                </c:pt>
                <c:pt idx="2">
                  <c:v>2021</c:v>
                </c:pt>
                <c:pt idx="3">
                  <c:v>2022</c:v>
                </c:pt>
                <c:pt idx="4">
                  <c:v>2023</c:v>
                </c:pt>
                <c:pt idx="5">
                  <c:v>2024</c:v>
                </c:pt>
                <c:pt idx="6">
                  <c:v>2025</c:v>
                </c:pt>
                <c:pt idx="7">
                  <c:v>2026</c:v>
                </c:pt>
                <c:pt idx="8">
                  <c:v>2027</c:v>
                </c:pt>
                <c:pt idx="9">
                  <c:v>2028</c:v>
                </c:pt>
                <c:pt idx="10">
                  <c:v>2029</c:v>
                </c:pt>
                <c:pt idx="11">
                  <c:v>2030</c:v>
                </c:pt>
              </c:numCache>
            </c:numRef>
          </c:cat>
          <c:val>
            <c:numRef>
              <c:f>'Framtidige kostnader'!$AK$53:$AK$64</c:f>
              <c:numCache>
                <c:formatCode>#,##0</c:formatCode>
                <c:ptCount val="12"/>
                <c:pt idx="0">
                  <c:v>322.20057561911898</c:v>
                </c:pt>
                <c:pt idx="1">
                  <c:v>815.53705647944025</c:v>
                </c:pt>
                <c:pt idx="2">
                  <c:v>977.90836384045974</c:v>
                </c:pt>
                <c:pt idx="3">
                  <c:v>1029.1740551703804</c:v>
                </c:pt>
                <c:pt idx="4">
                  <c:v>1050.1618303220484</c:v>
                </c:pt>
                <c:pt idx="5">
                  <c:v>1141.4874536781613</c:v>
                </c:pt>
                <c:pt idx="6">
                  <c:v>1290.7858186396829</c:v>
                </c:pt>
                <c:pt idx="7">
                  <c:v>1314.7561692287932</c:v>
                </c:pt>
                <c:pt idx="8">
                  <c:v>1332.639841279949</c:v>
                </c:pt>
                <c:pt idx="9">
                  <c:v>1335.8896809378759</c:v>
                </c:pt>
                <c:pt idx="10">
                  <c:v>1336.9729608238515</c:v>
                </c:pt>
                <c:pt idx="11">
                  <c:v>1336.9729608238515</c:v>
                </c:pt>
              </c:numCache>
            </c:numRef>
          </c:val>
          <c:smooth val="0"/>
          <c:extLst>
            <c:ext xmlns:c16="http://schemas.microsoft.com/office/drawing/2014/chart" uri="{C3380CC4-5D6E-409C-BE32-E72D297353CC}">
              <c16:uniqueId val="{00000000-C71D-4EBE-B97D-DBC1B5025A69}"/>
            </c:ext>
          </c:extLst>
        </c:ser>
        <c:ser>
          <c:idx val="1"/>
          <c:order val="1"/>
          <c:tx>
            <c:strRef>
              <c:f>'Framtidige kostnader'!$AL$3</c:f>
              <c:strCache>
                <c:ptCount val="1"/>
                <c:pt idx="0">
                  <c:v>Lav</c:v>
                </c:pt>
              </c:strCache>
            </c:strRef>
          </c:tx>
          <c:spPr>
            <a:ln w="25400" cap="rnd">
              <a:noFill/>
              <a:round/>
            </a:ln>
            <a:effectLst/>
          </c:spPr>
          <c:marker>
            <c:symbol val="circle"/>
            <c:size val="7"/>
            <c:spPr>
              <a:solidFill>
                <a:srgbClr val="A6B340"/>
              </a:solidFill>
              <a:ln w="9525">
                <a:noFill/>
              </a:ln>
              <a:effectLst/>
            </c:spPr>
          </c:marker>
          <c:cat>
            <c:numRef>
              <c:f>'Framtidige kostnader'!$X$53:$X$64</c:f>
              <c:numCache>
                <c:formatCode>General</c:formatCode>
                <c:ptCount val="12"/>
                <c:pt idx="0">
                  <c:v>2019</c:v>
                </c:pt>
                <c:pt idx="1">
                  <c:v>2020</c:v>
                </c:pt>
                <c:pt idx="2">
                  <c:v>2021</c:v>
                </c:pt>
                <c:pt idx="3">
                  <c:v>2022</c:v>
                </c:pt>
                <c:pt idx="4">
                  <c:v>2023</c:v>
                </c:pt>
                <c:pt idx="5">
                  <c:v>2024</c:v>
                </c:pt>
                <c:pt idx="6">
                  <c:v>2025</c:v>
                </c:pt>
                <c:pt idx="7">
                  <c:v>2026</c:v>
                </c:pt>
                <c:pt idx="8">
                  <c:v>2027</c:v>
                </c:pt>
                <c:pt idx="9">
                  <c:v>2028</c:v>
                </c:pt>
                <c:pt idx="10">
                  <c:v>2029</c:v>
                </c:pt>
                <c:pt idx="11">
                  <c:v>2030</c:v>
                </c:pt>
              </c:numCache>
            </c:numRef>
          </c:cat>
          <c:val>
            <c:numRef>
              <c:f>'Framtidige kostnader'!$AL$53:$AL$64</c:f>
              <c:numCache>
                <c:formatCode>#,##0</c:formatCode>
                <c:ptCount val="12"/>
                <c:pt idx="0">
                  <c:v>293.95330419054756</c:v>
                </c:pt>
                <c:pt idx="1">
                  <c:v>706.32614559005344</c:v>
                </c:pt>
                <c:pt idx="2">
                  <c:v>775.65052959546563</c:v>
                </c:pt>
                <c:pt idx="3">
                  <c:v>783.63914775556282</c:v>
                </c:pt>
                <c:pt idx="4">
                  <c:v>787.29706600131965</c:v>
                </c:pt>
                <c:pt idx="5">
                  <c:v>825.67964985645358</c:v>
                </c:pt>
                <c:pt idx="6">
                  <c:v>852.41613498708705</c:v>
                </c:pt>
                <c:pt idx="7">
                  <c:v>855.50605683469871</c:v>
                </c:pt>
                <c:pt idx="8">
                  <c:v>857.25990031821391</c:v>
                </c:pt>
                <c:pt idx="9">
                  <c:v>857.53845800317902</c:v>
                </c:pt>
                <c:pt idx="10">
                  <c:v>857.58488428400665</c:v>
                </c:pt>
                <c:pt idx="11">
                  <c:v>857.58488428400665</c:v>
                </c:pt>
              </c:numCache>
            </c:numRef>
          </c:val>
          <c:smooth val="0"/>
          <c:extLst>
            <c:ext xmlns:c16="http://schemas.microsoft.com/office/drawing/2014/chart" uri="{C3380CC4-5D6E-409C-BE32-E72D297353CC}">
              <c16:uniqueId val="{00000001-C71D-4EBE-B97D-DBC1B5025A69}"/>
            </c:ext>
          </c:extLst>
        </c:ser>
        <c:dLbls>
          <c:showLegendKey val="0"/>
          <c:showVal val="0"/>
          <c:showCatName val="0"/>
          <c:showSerName val="0"/>
          <c:showPercent val="0"/>
          <c:showBubbleSize val="0"/>
        </c:dLbls>
        <c:hiLowLines>
          <c:spPr>
            <a:ln w="9525" cap="flat" cmpd="sng" algn="ctr">
              <a:solidFill>
                <a:schemeClr val="tx1">
                  <a:lumMod val="50000"/>
                  <a:lumOff val="50000"/>
                </a:schemeClr>
              </a:solidFill>
              <a:round/>
            </a:ln>
            <a:effectLst/>
          </c:spPr>
        </c:hiLowLines>
        <c:marker val="1"/>
        <c:smooth val="0"/>
        <c:axId val="925738352"/>
        <c:axId val="556588416"/>
      </c:lineChart>
      <c:catAx>
        <c:axId val="925738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6588416"/>
        <c:crosses val="autoZero"/>
        <c:auto val="1"/>
        <c:lblAlgn val="ctr"/>
        <c:lblOffset val="100"/>
        <c:noMultiLvlLbl val="0"/>
      </c:catAx>
      <c:valAx>
        <c:axId val="556588416"/>
        <c:scaling>
          <c:orientation val="minMax"/>
          <c:max val="140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25738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eno">
  <a:themeElements>
    <a:clrScheme name="Menon 2">
      <a:dk1>
        <a:srgbClr val="000000"/>
      </a:dk1>
      <a:lt1>
        <a:srgbClr val="FFFFFF"/>
      </a:lt1>
      <a:dk2>
        <a:srgbClr val="C0C1BF"/>
      </a:dk2>
      <a:lt2>
        <a:srgbClr val="EFEEED"/>
      </a:lt2>
      <a:accent1>
        <a:srgbClr val="395775"/>
      </a:accent1>
      <a:accent2>
        <a:srgbClr val="D77F16"/>
      </a:accent2>
      <a:accent3>
        <a:srgbClr val="737B82"/>
      </a:accent3>
      <a:accent4>
        <a:srgbClr val="ACB3B8"/>
      </a:accent4>
      <a:accent5>
        <a:srgbClr val="A6B340"/>
      </a:accent5>
      <a:accent6>
        <a:srgbClr val="941100"/>
      </a:accent6>
      <a:hlink>
        <a:srgbClr val="0432FF"/>
      </a:hlink>
      <a:folHlink>
        <a:srgbClr val="75D5FF"/>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2F3B45E7147E642BD21DC8F32AAEE4B" ma:contentTypeVersion="0" ma:contentTypeDescription="Opprett et nytt dokument." ma:contentTypeScope="" ma:versionID="103923392c1b5bac5fa24769fafcf312">
  <xsd:schema xmlns:xsd="http://www.w3.org/2001/XMLSchema" xmlns:xs="http://www.w3.org/2001/XMLSchema" xmlns:p="http://schemas.microsoft.com/office/2006/metadata/properties" xmlns:ns2="a0c403bc-df03-43c8-915b-d2d6e5c89d57" targetNamespace="http://schemas.microsoft.com/office/2006/metadata/properties" ma:root="true" ma:fieldsID="31d9bc33a5b1ca9a429cc4d56d182250" ns2:_="">
    <xsd:import namespace="a0c403bc-df03-43c8-915b-d2d6e5c89d57"/>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c403bc-df03-43c8-915b-d2d6e5c89d57"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a0c403bc-df03-43c8-915b-d2d6e5c89d57">DMFW2D44QQMK-133804531-8</_dlc_DocId>
    <_dlc_DocIdUrl xmlns="a0c403bc-df03-43c8-915b-d2d6e5c89d57">
      <Url>http://fou.ks.no/prosjekter/184033/_layouts/15/DocIdRedir.aspx?ID=DMFW2D44QQMK-133804531-8</Url>
      <Description>DMFW2D44QQMK-133804531-8</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023E769-AB1A-4D36-ABE0-832E4AEE48E3}"/>
</file>

<file path=customXml/itemProps2.xml><?xml version="1.0" encoding="utf-8"?>
<ds:datastoreItem xmlns:ds="http://schemas.openxmlformats.org/officeDocument/2006/customXml" ds:itemID="{FD8E40DB-E88D-421F-BB2A-F4BFC376C72E}">
  <ds:schemaRefs>
    <ds:schemaRef ds:uri="http://purl.org/dc/elements/1.1/"/>
    <ds:schemaRef ds:uri="http://schemas.microsoft.com/office/2006/metadata/properties"/>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cde22758-aec1-438c-8130-9e6b1cedf2e6"/>
    <ds:schemaRef ds:uri="f541db69-4f33-4319-b79c-37bee79bcb99"/>
    <ds:schemaRef ds:uri="http://purl.org/dc/dcmitype/"/>
    <ds:schemaRef ds:uri="http://purl.org/dc/terms/"/>
  </ds:schemaRefs>
</ds:datastoreItem>
</file>

<file path=customXml/itemProps3.xml><?xml version="1.0" encoding="utf-8"?>
<ds:datastoreItem xmlns:ds="http://schemas.openxmlformats.org/officeDocument/2006/customXml" ds:itemID="{5BB9671A-C4C5-43CF-9EA9-4660A7F1327D}">
  <ds:schemaRefs>
    <ds:schemaRef ds:uri="http://schemas.microsoft.com/sharepoint/v3/contenttype/forms"/>
  </ds:schemaRefs>
</ds:datastoreItem>
</file>

<file path=customXml/itemProps4.xml><?xml version="1.0" encoding="utf-8"?>
<ds:datastoreItem xmlns:ds="http://schemas.openxmlformats.org/officeDocument/2006/customXml" ds:itemID="{0B308B2E-17EB-4806-AC3C-9FEB3611CAAB}">
  <ds:schemaRefs>
    <ds:schemaRef ds:uri="http://schemas.openxmlformats.org/officeDocument/2006/bibliography"/>
  </ds:schemaRefs>
</ds:datastoreItem>
</file>

<file path=customXml/itemProps5.xml><?xml version="1.0" encoding="utf-8"?>
<ds:datastoreItem xmlns:ds="http://schemas.openxmlformats.org/officeDocument/2006/customXml" ds:itemID="{D5F082E4-DD30-4C5A-8A04-173E2BDDC027}"/>
</file>

<file path=docProps/app.xml><?xml version="1.0" encoding="utf-8"?>
<Properties xmlns="http://schemas.openxmlformats.org/officeDocument/2006/extended-properties" xmlns:vt="http://schemas.openxmlformats.org/officeDocument/2006/docPropsVTypes">
  <Template>MENON-MAL RAPPORT Oct 2018.dotx</Template>
  <TotalTime>0</TotalTime>
  <Pages>6</Pages>
  <Words>951</Words>
  <Characters>5421</Characters>
  <Application>Microsoft Office Word</Application>
  <DocSecurity>0</DocSecurity>
  <Lines>45</Lines>
  <Paragraphs>12</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6360</CharactersWithSpaces>
  <SharedDoc>false</SharedDoc>
  <HLinks>
    <vt:vector size="96" baseType="variant">
      <vt:variant>
        <vt:i4>5374022</vt:i4>
      </vt:variant>
      <vt:variant>
        <vt:i4>381</vt:i4>
      </vt:variant>
      <vt:variant>
        <vt:i4>0</vt:i4>
      </vt:variant>
      <vt:variant>
        <vt:i4>5</vt:i4>
      </vt:variant>
      <vt:variant>
        <vt:lpwstr>https://lovdata.no/dokument/STV/forskrift/2017-12-12-2190</vt:lpwstr>
      </vt:variant>
      <vt:variant>
        <vt:lpwstr/>
      </vt:variant>
      <vt:variant>
        <vt:i4>1703959</vt:i4>
      </vt:variant>
      <vt:variant>
        <vt:i4>378</vt:i4>
      </vt:variant>
      <vt:variant>
        <vt:i4>0</vt:i4>
      </vt:variant>
      <vt:variant>
        <vt:i4>5</vt:i4>
      </vt:variant>
      <vt:variant>
        <vt:lpwstr>http://statistikkbanken.oslo.kommune.no/webview/</vt:lpwstr>
      </vt:variant>
      <vt:variant>
        <vt:lpwstr/>
      </vt:variant>
      <vt:variant>
        <vt:i4>1441808</vt:i4>
      </vt:variant>
      <vt:variant>
        <vt:i4>42</vt:i4>
      </vt:variant>
      <vt:variant>
        <vt:i4>0</vt:i4>
      </vt:variant>
      <vt:variant>
        <vt:i4>5</vt:i4>
      </vt:variant>
      <vt:variant>
        <vt:lpwstr>https://www.regjeringen.no/no/tema/okonomi-og-budsjett/skatter-og-avgifter/veibruksavgift-pa-drivstoff/id2603482/</vt:lpwstr>
      </vt:variant>
      <vt:variant>
        <vt:lpwstr/>
      </vt:variant>
      <vt:variant>
        <vt:i4>5374022</vt:i4>
      </vt:variant>
      <vt:variant>
        <vt:i4>39</vt:i4>
      </vt:variant>
      <vt:variant>
        <vt:i4>0</vt:i4>
      </vt:variant>
      <vt:variant>
        <vt:i4>5</vt:i4>
      </vt:variant>
      <vt:variant>
        <vt:lpwstr>https://lovdata.no/dokument/STV/forskrift/2017-12-12-2190</vt:lpwstr>
      </vt:variant>
      <vt:variant>
        <vt:lpwstr/>
      </vt:variant>
      <vt:variant>
        <vt:i4>5963785</vt:i4>
      </vt:variant>
      <vt:variant>
        <vt:i4>36</vt:i4>
      </vt:variant>
      <vt:variant>
        <vt:i4>0</vt:i4>
      </vt:variant>
      <vt:variant>
        <vt:i4>5</vt:i4>
      </vt:variant>
      <vt:variant>
        <vt:lpwstr>http://www.enova.no/bedrift/maritim-transport/maritime-historier/enova-stotter-hordaland-med-over-270-millioner-til-klimavennlige-ferger/</vt:lpwstr>
      </vt:variant>
      <vt:variant>
        <vt:lpwstr/>
      </vt:variant>
      <vt:variant>
        <vt:i4>5046294</vt:i4>
      </vt:variant>
      <vt:variant>
        <vt:i4>33</vt:i4>
      </vt:variant>
      <vt:variant>
        <vt:i4>0</vt:i4>
      </vt:variant>
      <vt:variant>
        <vt:i4>5</vt:i4>
      </vt:variant>
      <vt:variant>
        <vt:lpwstr>https://www.enova.no/om-enova/om-organisasjonen/prosjektliste-2012--2018/</vt:lpwstr>
      </vt:variant>
      <vt:variant>
        <vt:lpwstr/>
      </vt:variant>
      <vt:variant>
        <vt:i4>5832769</vt:i4>
      </vt:variant>
      <vt:variant>
        <vt:i4>30</vt:i4>
      </vt:variant>
      <vt:variant>
        <vt:i4>0</vt:i4>
      </vt:variant>
      <vt:variant>
        <vt:i4>5</vt:i4>
      </vt:variant>
      <vt:variant>
        <vt:lpwstr>http://www.enova.no/om-enova/om-organisasjonen/tilsagnsliste/</vt:lpwstr>
      </vt:variant>
      <vt:variant>
        <vt:lpwstr/>
      </vt:variant>
      <vt:variant>
        <vt:i4>3276916</vt:i4>
      </vt:variant>
      <vt:variant>
        <vt:i4>27</vt:i4>
      </vt:variant>
      <vt:variant>
        <vt:i4>0</vt:i4>
      </vt:variant>
      <vt:variant>
        <vt:i4>5</vt:i4>
      </vt:variant>
      <vt:variant>
        <vt:lpwstr>https://lovdata.no/dokument/SF/forskrift/1999-03-11-302</vt:lpwstr>
      </vt:variant>
      <vt:variant>
        <vt:lpwstr/>
      </vt:variant>
      <vt:variant>
        <vt:i4>1245215</vt:i4>
      </vt:variant>
      <vt:variant>
        <vt:i4>24</vt:i4>
      </vt:variant>
      <vt:variant>
        <vt:i4>0</vt:i4>
      </vt:variant>
      <vt:variant>
        <vt:i4>5</vt:i4>
      </vt:variant>
      <vt:variant>
        <vt:lpwstr>http://www.nve.no/energiforsyning-og-konsesjon/nett/</vt:lpwstr>
      </vt:variant>
      <vt:variant>
        <vt:lpwstr/>
      </vt:variant>
      <vt:variant>
        <vt:i4>393238</vt:i4>
      </vt:variant>
      <vt:variant>
        <vt:i4>21</vt:i4>
      </vt:variant>
      <vt:variant>
        <vt:i4>0</vt:i4>
      </vt:variant>
      <vt:variant>
        <vt:i4>5</vt:i4>
      </vt:variant>
      <vt:variant>
        <vt:lpwstr>https://www.trondelagfylke.no/nyhetsarkiv/jakten-pa-fremtidens-hurtigbat/</vt:lpwstr>
      </vt:variant>
      <vt:variant>
        <vt:lpwstr/>
      </vt:variant>
      <vt:variant>
        <vt:i4>5373970</vt:i4>
      </vt:variant>
      <vt:variant>
        <vt:i4>18</vt:i4>
      </vt:variant>
      <vt:variant>
        <vt:i4>0</vt:i4>
      </vt:variant>
      <vt:variant>
        <vt:i4>5</vt:i4>
      </vt:variant>
      <vt:variant>
        <vt:lpwstr>https://kollektivtrafikk.no/markedsoversikt-sjo/</vt:lpwstr>
      </vt:variant>
      <vt:variant>
        <vt:lpwstr/>
      </vt:variant>
      <vt:variant>
        <vt:i4>5373970</vt:i4>
      </vt:variant>
      <vt:variant>
        <vt:i4>15</vt:i4>
      </vt:variant>
      <vt:variant>
        <vt:i4>0</vt:i4>
      </vt:variant>
      <vt:variant>
        <vt:i4>5</vt:i4>
      </vt:variant>
      <vt:variant>
        <vt:lpwstr>https://kollektivtrafikk.no/markedsoversikt-sjo/</vt:lpwstr>
      </vt:variant>
      <vt:variant>
        <vt:lpwstr/>
      </vt:variant>
      <vt:variant>
        <vt:i4>1114114</vt:i4>
      </vt:variant>
      <vt:variant>
        <vt:i4>12</vt:i4>
      </vt:variant>
      <vt:variant>
        <vt:i4>0</vt:i4>
      </vt:variant>
      <vt:variant>
        <vt:i4>5</vt:i4>
      </vt:variant>
      <vt:variant>
        <vt:lpwstr>https://ruter.no/om-ruter/miljo/</vt:lpwstr>
      </vt:variant>
      <vt:variant>
        <vt:lpwstr/>
      </vt:variant>
      <vt:variant>
        <vt:i4>786525</vt:i4>
      </vt:variant>
      <vt:variant>
        <vt:i4>9</vt:i4>
      </vt:variant>
      <vt:variant>
        <vt:i4>0</vt:i4>
      </vt:variant>
      <vt:variant>
        <vt:i4>5</vt:i4>
      </vt:variant>
      <vt:variant>
        <vt:lpwstr>https://www.fuelcellbuses.eu/projects/jive-2</vt:lpwstr>
      </vt:variant>
      <vt:variant>
        <vt:lpwstr/>
      </vt:variant>
      <vt:variant>
        <vt:i4>6815857</vt:i4>
      </vt:variant>
      <vt:variant>
        <vt:i4>6</vt:i4>
      </vt:variant>
      <vt:variant>
        <vt:i4>0</vt:i4>
      </vt:variant>
      <vt:variant>
        <vt:i4>5</vt:i4>
      </vt:variant>
      <vt:variant>
        <vt:lpwstr>https://kollektivtrafikk.no/kunnskap/markedsoversikt-buss/</vt:lpwstr>
      </vt:variant>
      <vt:variant>
        <vt:lpwstr/>
      </vt:variant>
      <vt:variant>
        <vt:i4>4587529</vt:i4>
      </vt:variant>
      <vt:variant>
        <vt:i4>3</vt:i4>
      </vt:variant>
      <vt:variant>
        <vt:i4>0</vt:i4>
      </vt:variant>
      <vt:variant>
        <vt:i4>5</vt:i4>
      </vt:variant>
      <vt:variant>
        <vt:lpwstr>https://kollektivtrafikk.no/kunnskap/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Øyvind Nystad Handberg</dc:creator>
  <cp:keywords/>
  <dc:description/>
  <cp:lastModifiedBy>Øyvind Nystad Handberg</cp:lastModifiedBy>
  <cp:revision>2</cp:revision>
  <cp:lastPrinted>2019-04-02T13:48:00Z</cp:lastPrinted>
  <dcterms:created xsi:type="dcterms:W3CDTF">2019-04-02T14:22:00Z</dcterms:created>
  <dcterms:modified xsi:type="dcterms:W3CDTF">2019-04-02T14:22:00Z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0x010100A2F3B45E7147E642BD21DC8F32AAEE4B</vt:lpwstr>
  </property>
  <property fmtid="{D5CDD505-2E9C-101B-9397-08002B2CF9AE}" pid="3" name="AuthorIds_UIVersion_6144">
    <vt:lpwstr>13</vt:lpwstr>
  </property>
  <property fmtid="{D5CDD505-2E9C-101B-9397-08002B2CF9AE}" pid="4" name="Mendeley Document_1">
    <vt:lpwstr>True</vt:lpwstr>
  </property>
  <property fmtid="{D5CDD505-2E9C-101B-9397-08002B2CF9AE}" pid="5" name="Mendeley Unique User Id_1">
    <vt:lpwstr>a77693dc-3e9e-3383-8c25-fdd464099dac</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16th edition (author-date)</vt:lpwstr>
  </property>
  <property fmtid="{D5CDD505-2E9C-101B-9397-08002B2CF9AE}" pid="14" name="Mendeley Recent Style Id 4_1">
    <vt:lpwstr>http://www.zotero.org/styles/harvard-cite-them-right</vt:lpwstr>
  </property>
  <property fmtid="{D5CDD505-2E9C-101B-9397-08002B2CF9AE}" pid="15" name="Mendeley Recent Style Name 4_1">
    <vt:lpwstr>Cite Them Right 10th edition - Harvard</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http://csl.mendeley.com/styles/10831461/Menon</vt:lpwstr>
  </property>
  <property fmtid="{D5CDD505-2E9C-101B-9397-08002B2CF9AE}" pid="19" name="Mendeley Recent Style Name 6_1">
    <vt:lpwstr>Menon - Oyvind Handberg</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7th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AuthorIds_UIVersion_1536">
    <vt:lpwstr>13</vt:lpwstr>
  </property>
  <property fmtid="{D5CDD505-2E9C-101B-9397-08002B2CF9AE}" pid="27" name="AuthorIds_UIVersion_3072">
    <vt:lpwstr>13</vt:lpwstr>
  </property>
  <property fmtid="{D5CDD505-2E9C-101B-9397-08002B2CF9AE}" pid="28" name="_dlc_DocIdItemGuid">
    <vt:lpwstr>31f13b23-7c20-488f-bdca-d66c6529bedd</vt:lpwstr>
  </property>
</Properties>
</file>